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8511CF" w:rsidP="008511CF" w:rsidRDefault="008511CF" w14:paraId="29183AC7" w14:textId="77777777">
      <w:pPr>
        <w:rPr>
          <w:b/>
          <w:u w:val="single"/>
        </w:rPr>
      </w:pPr>
      <w:r>
        <w:rPr>
          <w:b/>
          <w:u w:val="single"/>
        </w:rPr>
        <w:t>RESULTADOS REGULATÓRIOS EM 2019</w:t>
      </w:r>
    </w:p>
    <w:p w:rsidR="008511CF" w:rsidP="008511CF" w:rsidRDefault="008511CF" w14:paraId="665CB40D" w14:textId="77777777"/>
    <w:p w:rsidRPr="008511CF" w:rsidR="008511CF" w:rsidP="00756161" w:rsidRDefault="008511CF" w14:paraId="426B7CF4" w14:textId="08DD0E4B">
      <w:pPr>
        <w:pStyle w:val="PargrafodaLista"/>
        <w:numPr>
          <w:ilvl w:val="0"/>
          <w:numId w:val="10"/>
        </w:numPr>
        <w:rPr>
          <w:color w:val="000000" w:themeColor="text1"/>
        </w:rPr>
      </w:pPr>
      <w:r>
        <w:t xml:space="preserve">Regulamentos </w:t>
      </w:r>
      <w:r>
        <w:t xml:space="preserve">publicados: </w:t>
      </w:r>
    </w:p>
    <w:p w:rsidRPr="008511CF" w:rsidR="008511CF" w:rsidP="008511CF" w:rsidRDefault="008511CF" w14:paraId="237A0D05" w14:textId="77777777">
      <w:pPr>
        <w:pStyle w:val="PargrafodaLista"/>
        <w:rPr>
          <w:color w:val="000000" w:themeColor="text1"/>
        </w:rPr>
      </w:pPr>
    </w:p>
    <w:p w:rsidR="008511CF" w:rsidP="008511CF" w:rsidRDefault="008511CF" w14:paraId="30A567B8" w14:textId="0215E242">
      <w:pPr>
        <w:numPr>
          <w:ilvl w:val="0"/>
          <w:numId w:val="2"/>
        </w:numPr>
        <w:ind w:left="0" w:firstLine="0"/>
        <w:rPr>
          <w:color w:val="000000" w:themeColor="text1"/>
        </w:rPr>
      </w:pPr>
      <w:hyperlink w:anchor="/visualizar/392901" r:id="R62cd703319ea48b8">
        <w:r w:rsidRPr="42098369" w:rsidR="42098369">
          <w:rPr>
            <w:rStyle w:val="Hyperlink"/>
          </w:rPr>
          <w:t>RDC 272, de 14/03/19</w:t>
        </w:r>
      </w:hyperlink>
      <w:r w:rsidRPr="42098369" w:rsidR="42098369">
        <w:rPr>
          <w:color w:val="000000" w:themeColor="text1" w:themeTint="FF" w:themeShade="FF"/>
        </w:rPr>
        <w:t>: estabelece os aditivos alimentares autorizados para uso em carnes e produtos cárneos.</w:t>
      </w:r>
    </w:p>
    <w:p w:rsidR="42098369" w:rsidP="42098369" w:rsidRDefault="42098369" w14:paraId="1E8CC5A9" w14:textId="316FEAF5">
      <w:pPr>
        <w:pStyle w:val="Normal"/>
        <w:ind w:left="0" w:firstLine="0"/>
        <w:rPr>
          <w:color w:val="000000" w:themeColor="text1" w:themeTint="FF" w:themeShade="FF"/>
        </w:rPr>
      </w:pPr>
    </w:p>
    <w:p w:rsidRPr="00E02E1B" w:rsidR="008511CF" w:rsidP="42098369" w:rsidRDefault="008511CF" w14:paraId="5488D7D5" w14:textId="4BD2D601">
      <w:pPr>
        <w:pStyle w:val="PargrafodaLista"/>
        <w:numPr>
          <w:ilvl w:val="0"/>
          <w:numId w:val="8"/>
        </w:numPr>
        <w:jc w:val="both"/>
        <w:rPr>
          <w:color w:val="000000" w:themeColor="text1"/>
        </w:rPr>
      </w:pPr>
      <w:r w:rsidRPr="42098369" w:rsidR="42098369">
        <w:rPr>
          <w:color w:val="000000" w:themeColor="text1" w:themeTint="FF" w:themeShade="FF"/>
        </w:rPr>
        <w:t>A regulamentação é a primeira revisão e atualização desde que o tema foi harmonizado no Mercosul, em 1997. A utilização de referências internacionais mais atuais representa um importante avanço tanto para os consumidores como para o setor produtivo. Isso porque significa maior convergência com as práticas produtivas mundiais, favorecendo o comércio internacional dos produtos.</w:t>
      </w:r>
    </w:p>
    <w:p w:rsidRPr="0095312C" w:rsidR="008511CF" w:rsidP="42098369" w:rsidRDefault="008511CF" w14:paraId="20CCE5FD" w14:textId="77777777" w14:noSpellErr="1">
      <w:pPr>
        <w:jc w:val="both"/>
        <w:rPr>
          <w:color w:val="000000" w:themeColor="text1"/>
        </w:rPr>
      </w:pPr>
    </w:p>
    <w:p w:rsidR="008511CF" w:rsidP="42098369" w:rsidRDefault="008511CF" w14:paraId="6F9FEC0E" w14:textId="199845DD">
      <w:pPr>
        <w:numPr>
          <w:ilvl w:val="0"/>
          <w:numId w:val="2"/>
        </w:numPr>
        <w:ind w:left="0" w:firstLine="0"/>
        <w:jc w:val="both"/>
        <w:rPr>
          <w:color w:val="000000" w:themeColor="text1"/>
        </w:rPr>
      </w:pPr>
      <w:hyperlink w:anchor="/visualizar/395660" r:id="Red74342479d547c0">
        <w:r w:rsidRPr="42098369" w:rsidR="42098369">
          <w:rPr>
            <w:rStyle w:val="Hyperlink"/>
          </w:rPr>
          <w:t>RDC 281, de 29/04/2019</w:t>
        </w:r>
      </w:hyperlink>
      <w:r w:rsidRPr="42098369" w:rsidR="42098369">
        <w:rPr>
          <w:color w:val="000000" w:themeColor="text1" w:themeTint="FF" w:themeShade="FF"/>
        </w:rPr>
        <w:t xml:space="preserve">, e </w:t>
      </w:r>
      <w:hyperlink w:anchor="/visualizar/411104" r:id="R5948d1d4d3dc4e08">
        <w:r w:rsidRPr="42098369" w:rsidR="42098369">
          <w:rPr>
            <w:rStyle w:val="Hyperlink"/>
          </w:rPr>
          <w:t>RDC 322, de 29/11/2019</w:t>
        </w:r>
      </w:hyperlink>
      <w:r w:rsidRPr="42098369" w:rsidR="42098369">
        <w:rPr>
          <w:color w:val="000000" w:themeColor="text1" w:themeTint="FF" w:themeShade="FF"/>
        </w:rPr>
        <w:t>: atualizações da lista de aditivos alimentares e coadjuvantes de tecnologia autorizados para uso em alimentos.</w:t>
      </w:r>
    </w:p>
    <w:p w:rsidR="42098369" w:rsidP="42098369" w:rsidRDefault="42098369" w14:paraId="1C881517" w14:textId="5A246322">
      <w:pPr>
        <w:pStyle w:val="Normal"/>
        <w:ind w:left="0" w:firstLine="0"/>
        <w:jc w:val="both"/>
        <w:rPr>
          <w:color w:val="000000" w:themeColor="text1" w:themeTint="FF" w:themeShade="FF"/>
        </w:rPr>
      </w:pPr>
    </w:p>
    <w:p w:rsidRPr="00E02E1B" w:rsidR="008511CF" w:rsidP="42098369" w:rsidRDefault="008511CF" w14:paraId="652FCA6C" w14:textId="77196831">
      <w:pPr>
        <w:pStyle w:val="PargrafodaLista"/>
        <w:numPr>
          <w:ilvl w:val="0"/>
          <w:numId w:val="8"/>
        </w:numPr>
        <w:jc w:val="both"/>
        <w:rPr>
          <w:color w:val="000000" w:themeColor="text1"/>
        </w:rPr>
      </w:pPr>
      <w:r w:rsidRPr="42098369" w:rsidR="42098369">
        <w:rPr>
          <w:color w:val="000000" w:themeColor="text1" w:themeTint="FF" w:themeShade="FF"/>
        </w:rPr>
        <w:t xml:space="preserve">Essas são as duas primeiras atualizações </w:t>
      </w:r>
      <w:r w:rsidRPr="42098369" w:rsidR="42098369">
        <w:rPr>
          <w:rFonts w:ascii="Calibri" w:hAnsi="Calibri" w:cs="Calibri"/>
          <w:color w:val="000000" w:themeColor="text1" w:themeTint="FF" w:themeShade="FF"/>
        </w:rPr>
        <w:t>decorrentes das manifestações técnicas favoráveis da Gerência de Avaliação de Riscos e Eficácia (</w:t>
      </w:r>
      <w:proofErr w:type="spellStart"/>
      <w:r w:rsidRPr="42098369" w:rsidR="42098369">
        <w:rPr>
          <w:rFonts w:ascii="Calibri" w:hAnsi="Calibri" w:cs="Calibri"/>
          <w:color w:val="000000" w:themeColor="text1" w:themeTint="FF" w:themeShade="FF"/>
        </w:rPr>
        <w:t>Geare</w:t>
      </w:r>
      <w:proofErr w:type="spellEnd"/>
      <w:r w:rsidRPr="42098369" w:rsidR="42098369">
        <w:rPr>
          <w:rFonts w:ascii="Calibri" w:hAnsi="Calibri" w:cs="Calibri"/>
          <w:color w:val="000000" w:themeColor="text1" w:themeTint="FF" w:themeShade="FF"/>
        </w:rPr>
        <w:t xml:space="preserve">) da GGALI em resposta às petições da indústria sobre o tema. Ao todo, foram aprovadas novas disposições para quatro coadjuvantes de tecnologia e 19 aditivos alimentares para </w:t>
      </w:r>
      <w:r w:rsidRPr="42098369" w:rsidR="42098369">
        <w:rPr>
          <w:color w:val="000000" w:themeColor="text1" w:themeTint="FF" w:themeShade="FF"/>
        </w:rPr>
        <w:t>diversas categorias de alimentos.</w:t>
      </w:r>
    </w:p>
    <w:p w:rsidRPr="0095312C" w:rsidR="008511CF" w:rsidP="42098369" w:rsidRDefault="008511CF" w14:paraId="75757C74" w14:textId="77777777" w14:noSpellErr="1">
      <w:pPr>
        <w:jc w:val="both"/>
        <w:rPr>
          <w:color w:val="000000" w:themeColor="text1"/>
        </w:rPr>
      </w:pPr>
    </w:p>
    <w:p w:rsidRPr="00E02E1B" w:rsidR="008511CF" w:rsidP="42098369" w:rsidRDefault="008511CF" w14:paraId="37346B92" w14:textId="39404257">
      <w:pPr>
        <w:numPr>
          <w:ilvl w:val="0"/>
          <w:numId w:val="3"/>
        </w:numPr>
        <w:ind w:left="0" w:firstLine="0"/>
        <w:jc w:val="both"/>
        <w:rPr>
          <w:rFonts w:ascii="Calibri" w:hAnsi="Calibri" w:cs="Calibri"/>
          <w:color w:val="000000" w:themeColor="text1"/>
        </w:rPr>
      </w:pPr>
      <w:hyperlink w:anchor="/visualizar/397062" r:id="Rb79e37de7bdd422d">
        <w:r w:rsidRPr="42098369" w:rsidR="42098369">
          <w:rPr>
            <w:rStyle w:val="Hyperlink"/>
          </w:rPr>
          <w:t>RDC 285, de 21/05/2019</w:t>
        </w:r>
      </w:hyperlink>
      <w:r w:rsidRPr="42098369" w:rsidR="42098369">
        <w:rPr>
          <w:color w:val="000000" w:themeColor="text1" w:themeTint="FF" w:themeShade="FF"/>
        </w:rPr>
        <w:t>: aditivos alimentares com alumínio.</w:t>
      </w:r>
    </w:p>
    <w:p w:rsidR="42098369" w:rsidP="42098369" w:rsidRDefault="42098369" w14:paraId="0BBE70FC" w14:textId="5D5379FC">
      <w:pPr>
        <w:pStyle w:val="Normal"/>
        <w:ind w:left="0" w:firstLine="0"/>
        <w:jc w:val="both"/>
        <w:rPr>
          <w:color w:val="000000" w:themeColor="text1" w:themeTint="FF" w:themeShade="FF"/>
        </w:rPr>
      </w:pPr>
    </w:p>
    <w:p w:rsidRPr="00E02E1B" w:rsidR="008511CF" w:rsidP="42098369" w:rsidRDefault="008511CF" w14:paraId="710F9C93" w14:textId="77777777" w14:noSpellErr="1">
      <w:pPr>
        <w:pStyle w:val="PargrafodaLista"/>
        <w:numPr>
          <w:ilvl w:val="0"/>
          <w:numId w:val="8"/>
        </w:numPr>
        <w:jc w:val="both"/>
        <w:rPr>
          <w:rFonts w:ascii="Calibri" w:hAnsi="Calibri" w:cs="Calibri"/>
          <w:color w:val="000000" w:themeColor="text1"/>
        </w:rPr>
      </w:pPr>
      <w:r w:rsidRPr="42098369" w:rsidR="42098369">
        <w:rPr>
          <w:color w:val="000000" w:themeColor="text1" w:themeTint="FF" w:themeShade="FF"/>
        </w:rPr>
        <w:t xml:space="preserve">A </w:t>
      </w:r>
      <w:r w:rsidRPr="42098369" w:rsidR="42098369">
        <w:rPr>
          <w:rFonts w:ascii="Calibri" w:hAnsi="Calibri" w:cs="Calibri"/>
          <w:color w:val="000000" w:themeColor="text1" w:themeTint="FF" w:themeShade="FF"/>
        </w:rPr>
        <w:t>proposta visa reduzir os riscos à saúde decorrentes do consumo de alimentos adicionados de aditivos alimentares contendo alumínio. A medida atende a recomendações internacionais para reduzir a exposição alimentar ao alumínio em função das preocupações com seus efeitos adversos à saúde, especialmente no sistema reprodutor e nervoso.</w:t>
      </w:r>
    </w:p>
    <w:p w:rsidRPr="0095312C" w:rsidR="008511CF" w:rsidP="42098369" w:rsidRDefault="008511CF" w14:paraId="7EF699C0" w14:textId="77777777" w14:noSpellErr="1">
      <w:pPr>
        <w:jc w:val="both"/>
        <w:rPr>
          <w:color w:val="000000" w:themeColor="text1"/>
        </w:rPr>
      </w:pPr>
    </w:p>
    <w:p w:rsidR="008511CF" w:rsidP="42098369" w:rsidRDefault="008511CF" w14:paraId="55755FBF" w14:textId="3677C521">
      <w:pPr>
        <w:numPr>
          <w:ilvl w:val="0"/>
          <w:numId w:val="6"/>
        </w:numPr>
        <w:ind w:left="0" w:firstLine="0"/>
        <w:jc w:val="both"/>
        <w:rPr>
          <w:color w:val="000000" w:themeColor="text1"/>
        </w:rPr>
      </w:pPr>
      <w:hyperlink w:anchor="/visualizar/411107" r:id="R3ecff99efede4418">
        <w:r w:rsidRPr="42098369" w:rsidR="42098369">
          <w:rPr>
            <w:rStyle w:val="Hyperlink"/>
          </w:rPr>
          <w:t>RDC 326, de 3/12/2019</w:t>
        </w:r>
      </w:hyperlink>
      <w:r w:rsidRPr="42098369" w:rsidR="42098369">
        <w:rPr>
          <w:color w:val="000000" w:themeColor="text1" w:themeTint="FF" w:themeShade="FF"/>
        </w:rPr>
        <w:t>: aditivos para materiais plásticos destinados ao contato com alimentos.</w:t>
      </w:r>
    </w:p>
    <w:p w:rsidR="42098369" w:rsidP="42098369" w:rsidRDefault="42098369" w14:paraId="40ECDCFD" w14:textId="685AA267">
      <w:pPr>
        <w:pStyle w:val="Normal"/>
        <w:ind w:left="0" w:firstLine="0"/>
        <w:jc w:val="both"/>
        <w:rPr>
          <w:color w:val="000000" w:themeColor="text1" w:themeTint="FF" w:themeShade="FF"/>
        </w:rPr>
      </w:pPr>
    </w:p>
    <w:p w:rsidRPr="00574FAA" w:rsidR="008511CF" w:rsidP="42098369" w:rsidRDefault="008511CF" w14:paraId="12E70C1D" w14:textId="77777777" w14:noSpellErr="1">
      <w:pPr>
        <w:pStyle w:val="PargrafodaLista"/>
        <w:numPr>
          <w:ilvl w:val="0"/>
          <w:numId w:val="8"/>
        </w:numPr>
        <w:jc w:val="both"/>
        <w:rPr>
          <w:color w:val="000000" w:themeColor="text1"/>
        </w:rPr>
      </w:pPr>
      <w:r w:rsidRPr="42098369" w:rsidR="42098369">
        <w:rPr>
          <w:color w:val="000000" w:themeColor="text1" w:themeTint="FF" w:themeShade="FF"/>
        </w:rPr>
        <w:t xml:space="preserve">O tema é harmonizado no Mercosul desde 2007 e ainda não havia sido revisado e atualizado. A conclusão do processo aproxima os requisitos sanitários do Brasil aos estabelecidos internacionalmente, ampliando a convergência regulatória com os demais países e favorecendo a inovação tecnológica nos processos produtivos de embalagens plásticas. </w:t>
      </w:r>
    </w:p>
    <w:p w:rsidRPr="0095312C" w:rsidR="008511CF" w:rsidP="42098369" w:rsidRDefault="008511CF" w14:paraId="44C87353" w14:textId="77777777" w14:noSpellErr="1">
      <w:pPr>
        <w:jc w:val="both"/>
        <w:rPr>
          <w:color w:val="000000" w:themeColor="text1"/>
        </w:rPr>
      </w:pPr>
    </w:p>
    <w:p w:rsidR="008511CF" w:rsidP="42098369" w:rsidRDefault="008511CF" w14:paraId="58FD193B" w14:textId="0E0B4001">
      <w:pPr>
        <w:numPr>
          <w:ilvl w:val="0"/>
          <w:numId w:val="4"/>
        </w:numPr>
        <w:ind w:left="0" w:firstLine="0"/>
        <w:jc w:val="both"/>
        <w:rPr>
          <w:color w:val="000000" w:themeColor="text1"/>
        </w:rPr>
      </w:pPr>
      <w:hyperlink w:anchor="/visualizar/408006" r:id="Rca4ad3fa1d6e47ca">
        <w:r w:rsidRPr="42098369" w:rsidR="42098369">
          <w:rPr>
            <w:rStyle w:val="Hyperlink"/>
          </w:rPr>
          <w:t>RDC 316, de 17/10/2019</w:t>
        </w:r>
      </w:hyperlink>
      <w:r w:rsidRPr="42098369" w:rsidR="42098369">
        <w:rPr>
          <w:color w:val="000000" w:themeColor="text1" w:themeTint="FF" w:themeShade="FF"/>
        </w:rPr>
        <w:t>: requisitos sanitários da água do mar dessalinizada, potável e envasada.</w:t>
      </w:r>
    </w:p>
    <w:p w:rsidR="42098369" w:rsidP="42098369" w:rsidRDefault="42098369" w14:paraId="4CA788BA" w14:textId="366D6894">
      <w:pPr>
        <w:pStyle w:val="Normal"/>
        <w:ind w:left="0" w:firstLine="0"/>
        <w:jc w:val="both"/>
        <w:rPr>
          <w:color w:val="000000" w:themeColor="text1" w:themeTint="FF" w:themeShade="FF"/>
        </w:rPr>
      </w:pPr>
    </w:p>
    <w:p w:rsidRPr="00020359" w:rsidR="008511CF" w:rsidP="42098369" w:rsidRDefault="008511CF" w14:paraId="00BDE3B9" w14:textId="77777777" w14:noSpellErr="1">
      <w:pPr>
        <w:pStyle w:val="PargrafodaLista"/>
        <w:numPr>
          <w:ilvl w:val="0"/>
          <w:numId w:val="8"/>
        </w:numPr>
        <w:jc w:val="both"/>
        <w:rPr>
          <w:color w:val="000000" w:themeColor="text1"/>
        </w:rPr>
      </w:pPr>
      <w:r w:rsidRPr="42098369" w:rsidR="42098369">
        <w:rPr>
          <w:color w:val="000000" w:themeColor="text1" w:themeTint="FF" w:themeShade="FF"/>
        </w:rPr>
        <w:t>O</w:t>
      </w:r>
      <w:r w:rsidRPr="42098369" w:rsidR="42098369">
        <w:rPr>
          <w:color w:val="000000" w:themeColor="text1" w:themeTint="FF" w:themeShade="FF"/>
        </w:rPr>
        <w:t xml:space="preserve"> </w:t>
      </w:r>
      <w:r w:rsidRPr="42098369" w:rsidR="42098369">
        <w:rPr>
          <w:rFonts w:ascii="Calibri" w:hAnsi="Calibri" w:cs="Calibri"/>
          <w:color w:val="000000" w:themeColor="text1" w:themeTint="FF" w:themeShade="FF"/>
        </w:rPr>
        <w:t xml:space="preserve">regulamento estabelece os padrões mínimos para a </w:t>
      </w:r>
      <w:r w:rsidRPr="42098369" w:rsidR="42098369">
        <w:rPr>
          <w:color w:val="000000" w:themeColor="text1" w:themeTint="FF" w:themeShade="FF"/>
        </w:rPr>
        <w:t>água do mar dessalinizada, potável e envasada</w:t>
      </w:r>
      <w:r w:rsidRPr="42098369" w:rsidR="42098369">
        <w:rPr>
          <w:rFonts w:ascii="Calibri" w:hAnsi="Calibri" w:cs="Calibri"/>
          <w:color w:val="000000" w:themeColor="text1" w:themeTint="FF" w:themeShade="FF"/>
        </w:rPr>
        <w:t xml:space="preserve">. Foi elaborado com o propósito de cumprir decisão judicial do Tribunal Regional Federal da 1ª Região, que determinou à Anvisa a obrigação de produzir um regulamento para água envasada obtida a partir da dessalinização da água do mar.  </w:t>
      </w:r>
    </w:p>
    <w:p w:rsidRPr="0095312C" w:rsidR="008511CF" w:rsidP="42098369" w:rsidRDefault="008511CF" w14:paraId="0FD5EA48" w14:textId="77777777" w14:noSpellErr="1">
      <w:pPr>
        <w:jc w:val="both"/>
        <w:rPr>
          <w:color w:val="000000" w:themeColor="text1"/>
        </w:rPr>
      </w:pPr>
    </w:p>
    <w:p w:rsidRPr="0095312C" w:rsidR="008511CF" w:rsidP="42098369" w:rsidRDefault="008511CF" w14:paraId="1C8976DE" w14:textId="483345A0">
      <w:pPr>
        <w:numPr>
          <w:ilvl w:val="0"/>
          <w:numId w:val="4"/>
        </w:numPr>
        <w:ind w:left="0" w:firstLine="0"/>
        <w:jc w:val="both"/>
        <w:rPr>
          <w:color w:val="000000" w:themeColor="text1"/>
        </w:rPr>
      </w:pPr>
      <w:hyperlink w:anchor="/visualizar/412266" r:id="R8d7a9d6621b14e34">
        <w:r w:rsidRPr="42098369" w:rsidR="42098369">
          <w:rPr>
            <w:rStyle w:val="Hyperlink"/>
          </w:rPr>
          <w:t>RDC 331, de 23/12/2019</w:t>
        </w:r>
      </w:hyperlink>
      <w:r w:rsidRPr="42098369" w:rsidR="42098369">
        <w:rPr>
          <w:color w:val="000000" w:themeColor="text1" w:themeTint="FF" w:themeShade="FF"/>
        </w:rPr>
        <w:t xml:space="preserve">, e </w:t>
      </w:r>
      <w:hyperlink w:anchor="/visualizar/412498" r:id="Rcb13f1961b2c4c44">
        <w:r w:rsidRPr="42098369" w:rsidR="42098369">
          <w:rPr>
            <w:rStyle w:val="Hyperlink"/>
          </w:rPr>
          <w:t>Instrução Normativa (IN) 60, de 23/12/2019</w:t>
        </w:r>
      </w:hyperlink>
      <w:r w:rsidRPr="42098369" w:rsidR="42098369">
        <w:rPr>
          <w:color w:val="000000" w:themeColor="text1" w:themeTint="FF" w:themeShade="FF"/>
        </w:rPr>
        <w:t xml:space="preserve">: estabelecem os </w:t>
      </w:r>
      <w:r w:rsidRPr="42098369" w:rsidR="42098369">
        <w:rPr>
          <w:rFonts w:ascii="Calibri" w:hAnsi="Calibri" w:cs="Calibri"/>
          <w:color w:val="000000" w:themeColor="text1" w:themeTint="FF" w:themeShade="FF"/>
        </w:rPr>
        <w:t>padrões microbiológicos de alimentos.</w:t>
      </w:r>
    </w:p>
    <w:p w:rsidR="42098369" w:rsidP="42098369" w:rsidRDefault="42098369" w14:paraId="6DECB3D7" w14:textId="1509D6A8">
      <w:pPr>
        <w:pStyle w:val="Normal"/>
        <w:ind w:left="0" w:firstLine="0"/>
        <w:jc w:val="both"/>
        <w:rPr>
          <w:rFonts w:ascii="Calibri" w:hAnsi="Calibri" w:cs="Calibri"/>
          <w:color w:val="000000" w:themeColor="text1" w:themeTint="FF" w:themeShade="FF"/>
        </w:rPr>
      </w:pPr>
    </w:p>
    <w:p w:rsidR="008511CF" w:rsidP="42098369" w:rsidRDefault="008511CF" w14:paraId="60A1F628" w14:textId="77777777" w14:noSpellErr="1">
      <w:pPr>
        <w:pStyle w:val="PargrafodaLista"/>
        <w:numPr>
          <w:ilvl w:val="0"/>
          <w:numId w:val="8"/>
        </w:numPr>
        <w:jc w:val="both"/>
        <w:rPr>
          <w:rFonts w:ascii="Calibri" w:hAnsi="Calibri" w:cs="Calibri"/>
          <w:color w:val="000000" w:themeColor="text1"/>
        </w:rPr>
      </w:pPr>
      <w:r w:rsidRPr="42098369" w:rsidR="42098369">
        <w:rPr>
          <w:rFonts w:ascii="Calibri" w:hAnsi="Calibri" w:cs="Calibri"/>
          <w:color w:val="000000" w:themeColor="text1" w:themeTint="FF" w:themeShade="FF"/>
        </w:rPr>
        <w:t xml:space="preserve">Os padrões microbiológicos são critérios para aferir a segurança e a higiene de alimentos, devendo ser atendidos até o último dia de validade do produto. A proposta promove maior segurança aos consumidores, tendo sido elaborada considerando os critérios atualmente estabelecidos por organismos internacionalmente reconhecidos. </w:t>
      </w:r>
    </w:p>
    <w:p w:rsidR="42098369" w:rsidP="42098369" w:rsidRDefault="42098369" w14:paraId="53D3DEBB" w14:textId="2F56FACD">
      <w:pPr>
        <w:pStyle w:val="Normal"/>
        <w:ind w:left="360"/>
        <w:jc w:val="both"/>
        <w:rPr>
          <w:rFonts w:ascii="Calibri" w:hAnsi="Calibri" w:cs="Calibri"/>
          <w:color w:val="000000" w:themeColor="text1" w:themeTint="FF" w:themeShade="FF"/>
        </w:rPr>
      </w:pPr>
    </w:p>
    <w:p w:rsidRPr="00DA002A" w:rsidR="008511CF" w:rsidP="42098369" w:rsidRDefault="008511CF" w14:paraId="406D3403" w14:textId="6472FFC5" w14:noSpellErr="1">
      <w:pPr>
        <w:pStyle w:val="PargrafodaLista"/>
        <w:numPr>
          <w:ilvl w:val="0"/>
          <w:numId w:val="8"/>
        </w:numPr>
        <w:jc w:val="both"/>
        <w:rPr>
          <w:rFonts w:ascii="Calibri" w:hAnsi="Calibri" w:cs="Calibri"/>
          <w:color w:val="000000" w:themeColor="text1"/>
        </w:rPr>
      </w:pPr>
      <w:r w:rsidRPr="42098369" w:rsidR="42098369">
        <w:rPr>
          <w:rFonts w:ascii="Calibri" w:hAnsi="Calibri" w:cs="Calibri"/>
          <w:color w:val="000000" w:themeColor="text1" w:themeTint="FF" w:themeShade="FF"/>
        </w:rPr>
        <w:t>Além disso, as categorias de alimentos foram revisadas para evitar que um produto seja enquadrado em diferentes categorias com critérios microbiológicos di</w:t>
      </w:r>
      <w:r w:rsidRPr="42098369" w:rsidR="42098369">
        <w:rPr>
          <w:rFonts w:ascii="Calibri" w:hAnsi="Calibri" w:cs="Calibri"/>
          <w:color w:val="000000" w:themeColor="text1" w:themeTint="FF" w:themeShade="FF"/>
        </w:rPr>
        <w:t xml:space="preserve">stintos </w:t>
      </w:r>
      <w:r w:rsidRPr="42098369" w:rsidR="42098369">
        <w:rPr>
          <w:rFonts w:ascii="Calibri" w:hAnsi="Calibri" w:cs="Calibri"/>
          <w:color w:val="000000" w:themeColor="text1" w:themeTint="FF" w:themeShade="FF"/>
        </w:rPr>
        <w:t>e também para incluir alimentos que não estavam contemplados. O tema passou a ser classificado como de atualização periódica.</w:t>
      </w:r>
    </w:p>
    <w:p w:rsidRPr="0095312C" w:rsidR="008511CF" w:rsidP="42098369" w:rsidRDefault="008511CF" w14:paraId="38712038" w14:textId="77777777" w14:noSpellErr="1">
      <w:pPr>
        <w:jc w:val="both"/>
        <w:rPr>
          <w:color w:val="000000" w:themeColor="text1"/>
        </w:rPr>
      </w:pPr>
    </w:p>
    <w:p w:rsidRPr="0095312C" w:rsidR="008511CF" w:rsidP="42098369" w:rsidRDefault="008511CF" w14:paraId="66EDE8F8" w14:textId="6BB6FA16">
      <w:pPr>
        <w:numPr>
          <w:ilvl w:val="0"/>
          <w:numId w:val="5"/>
        </w:numPr>
        <w:ind w:left="0" w:firstLine="0"/>
        <w:jc w:val="both"/>
        <w:rPr>
          <w:color w:val="000000" w:themeColor="text1"/>
        </w:rPr>
      </w:pPr>
      <w:hyperlink w:anchor="/visualizar/412264" r:id="R4e75d6479db74bd4">
        <w:r w:rsidRPr="42098369" w:rsidR="42098369">
          <w:rPr>
            <w:rStyle w:val="Hyperlink"/>
          </w:rPr>
          <w:t>RDC 329, de 19/12/2019</w:t>
        </w:r>
      </w:hyperlink>
      <w:r w:rsidRPr="42098369" w:rsidR="42098369">
        <w:rPr>
          <w:color w:val="000000" w:themeColor="text1" w:themeTint="FF" w:themeShade="FF"/>
        </w:rPr>
        <w:t>: e</w:t>
      </w:r>
      <w:r w:rsidRPr="42098369" w:rsidR="42098369">
        <w:rPr>
          <w:rFonts w:ascii="Calibri" w:hAnsi="Calibri" w:cs="Calibri"/>
          <w:color w:val="000000" w:themeColor="text1" w:themeTint="FF" w:themeShade="FF"/>
        </w:rPr>
        <w:t>stabelece os aditivos alimentares e coadjuvantes de tecnologia autorizados para uso em pescados e produtos de pescados.</w:t>
      </w:r>
    </w:p>
    <w:p w:rsidR="42098369" w:rsidP="42098369" w:rsidRDefault="42098369" w14:paraId="415F99DE" w14:textId="02382298">
      <w:pPr>
        <w:pStyle w:val="Normal"/>
        <w:ind w:left="0" w:firstLine="0"/>
        <w:jc w:val="both"/>
        <w:rPr>
          <w:rFonts w:ascii="Calibri" w:hAnsi="Calibri" w:cs="Calibri"/>
          <w:color w:val="000000" w:themeColor="text1" w:themeTint="FF" w:themeShade="FF"/>
        </w:rPr>
      </w:pPr>
    </w:p>
    <w:p w:rsidRPr="00D6676D" w:rsidR="008511CF" w:rsidP="42098369" w:rsidRDefault="008511CF" w14:paraId="500F701F" w14:textId="0845FD86" w14:noSpellErr="1">
      <w:pPr>
        <w:pStyle w:val="PargrafodaLista"/>
        <w:numPr>
          <w:ilvl w:val="0"/>
          <w:numId w:val="9"/>
        </w:numPr>
        <w:jc w:val="both"/>
        <w:rPr>
          <w:color w:val="000000" w:themeColor="text1"/>
        </w:rPr>
      </w:pPr>
      <w:r w:rsidRPr="42098369" w:rsidR="42098369">
        <w:rPr>
          <w:color w:val="000000" w:themeColor="text1" w:themeTint="FF" w:themeShade="FF"/>
        </w:rPr>
        <w:t xml:space="preserve">A proposta aumentou de 11 para 702 </w:t>
      </w:r>
      <w:r w:rsidRPr="42098369" w:rsidR="42098369">
        <w:rPr>
          <w:color w:val="000000" w:themeColor="text1" w:themeTint="FF" w:themeShade="FF"/>
        </w:rPr>
        <w:t xml:space="preserve">as </w:t>
      </w:r>
      <w:r w:rsidRPr="42098369" w:rsidR="42098369">
        <w:rPr>
          <w:color w:val="000000" w:themeColor="text1" w:themeTint="FF" w:themeShade="FF"/>
        </w:rPr>
        <w:t xml:space="preserve">provisões para uso de aditivos alimentares e coadjuvantes de tecnologia para pescados e produtos de pescados. Além de favorecer a inovação tecnológica e o comércio internacional, as categorias de pescados e produtos de pescados foram alinhadas com aquelas definidas no </w:t>
      </w:r>
      <w:r w:rsidRPr="42098369" w:rsidR="42098369">
        <w:rPr>
          <w:i w:val="1"/>
          <w:iCs w:val="1"/>
          <w:color w:val="000000" w:themeColor="text1" w:themeTint="FF" w:themeShade="FF"/>
        </w:rPr>
        <w:t>Codex Alimentarius</w:t>
      </w:r>
      <w:r w:rsidRPr="42098369" w:rsidR="42098369">
        <w:rPr>
          <w:color w:val="000000" w:themeColor="text1" w:themeTint="FF" w:themeShade="FF"/>
        </w:rPr>
        <w:t>, de forma a facilitar a atualização da lista dos aditivos e coadjuvantes autorizados</w:t>
      </w:r>
      <w:r w:rsidRPr="42098369" w:rsidR="42098369">
        <w:rPr>
          <w:color w:val="000000" w:themeColor="text1" w:themeTint="FF" w:themeShade="FF"/>
        </w:rPr>
        <w:t>.</w:t>
      </w:r>
      <w:r w:rsidRPr="42098369" w:rsidR="42098369">
        <w:rPr>
          <w:color w:val="000000" w:themeColor="text1" w:themeTint="FF" w:themeShade="FF"/>
        </w:rPr>
        <w:t xml:space="preserve"> </w:t>
      </w:r>
    </w:p>
    <w:p w:rsidRPr="0095312C" w:rsidR="008511CF" w:rsidP="42098369" w:rsidRDefault="008511CF" w14:paraId="7B4D4307" w14:textId="77777777" w14:noSpellErr="1">
      <w:pPr>
        <w:jc w:val="both"/>
        <w:rPr>
          <w:color w:val="000000" w:themeColor="text1"/>
        </w:rPr>
      </w:pPr>
    </w:p>
    <w:p w:rsidR="008511CF" w:rsidP="42098369" w:rsidRDefault="008511CF" w14:paraId="5E1167B7" w14:textId="0E951D4A">
      <w:pPr>
        <w:numPr>
          <w:ilvl w:val="0"/>
          <w:numId w:val="5"/>
        </w:numPr>
        <w:ind w:left="0" w:firstLine="0"/>
        <w:jc w:val="both"/>
        <w:rPr>
          <w:color w:val="000000" w:themeColor="text1"/>
        </w:rPr>
      </w:pPr>
      <w:hyperlink w:anchor="/visualizar/412263" r:id="R746276e0e8b543b0">
        <w:r w:rsidRPr="42098369" w:rsidR="42098369">
          <w:rPr>
            <w:rStyle w:val="Hyperlink"/>
          </w:rPr>
          <w:t>RDC 328, de 19/12/2019</w:t>
        </w:r>
      </w:hyperlink>
      <w:r w:rsidRPr="42098369" w:rsidR="42098369">
        <w:rPr>
          <w:color w:val="000000" w:themeColor="text1" w:themeTint="FF" w:themeShade="FF"/>
        </w:rPr>
        <w:t>:</w:t>
      </w:r>
      <w:r w:rsidRPr="42098369" w:rsidR="42098369">
        <w:rPr>
          <w:b w:val="1"/>
          <w:bCs w:val="1"/>
          <w:color w:val="000000" w:themeColor="text1" w:themeTint="FF" w:themeShade="FF"/>
        </w:rPr>
        <w:t xml:space="preserve"> </w:t>
      </w:r>
      <w:r w:rsidRPr="42098369" w:rsidR="42098369">
        <w:rPr>
          <w:color w:val="000000" w:themeColor="text1" w:themeTint="FF" w:themeShade="FF"/>
        </w:rPr>
        <w:t>dispõe sobre a avaliação do risco à saúde humana de medicamentos veterinários e os métodos de análise para fins de avaliação da conformidade.</w:t>
      </w:r>
    </w:p>
    <w:p w:rsidRPr="0095312C" w:rsidR="008511CF" w:rsidP="42098369" w:rsidRDefault="008511CF" w14:paraId="5CC4C134" w14:textId="77777777" w14:noSpellErr="1">
      <w:pPr>
        <w:jc w:val="both"/>
        <w:rPr>
          <w:color w:val="000000" w:themeColor="text1"/>
        </w:rPr>
      </w:pPr>
    </w:p>
    <w:p w:rsidRPr="0095312C" w:rsidR="008511CF" w:rsidP="42098369" w:rsidRDefault="008511CF" w14:paraId="0334CD0C" w14:textId="64011BE5">
      <w:pPr>
        <w:numPr>
          <w:ilvl w:val="0"/>
          <w:numId w:val="5"/>
        </w:numPr>
        <w:ind w:left="0" w:firstLine="0"/>
        <w:jc w:val="both"/>
        <w:rPr>
          <w:color w:val="000000" w:themeColor="text1"/>
        </w:rPr>
      </w:pPr>
      <w:hyperlink w:anchor="/visualizar/412269" r:id="R43232a76e7cf4578">
        <w:r w:rsidRPr="42098369" w:rsidR="42098369">
          <w:rPr>
            <w:rStyle w:val="Hyperlink"/>
          </w:rPr>
          <w:t>IN 51, de 19/12/2019</w:t>
        </w:r>
      </w:hyperlink>
      <w:r w:rsidRPr="42098369" w:rsidR="42098369">
        <w:rPr>
          <w:b w:val="1"/>
          <w:bCs w:val="1"/>
          <w:color w:val="000000" w:themeColor="text1" w:themeTint="FF" w:themeShade="FF"/>
        </w:rPr>
        <w:t xml:space="preserve">: </w:t>
      </w:r>
      <w:r w:rsidRPr="42098369" w:rsidR="42098369">
        <w:rPr>
          <w:color w:val="000000" w:themeColor="text1" w:themeTint="FF" w:themeShade="FF"/>
        </w:rPr>
        <w:t>estabelece a lista de limites máximos de resíduos (LMR), ingestão diária aceitável (IDA) e dose de referência aguda (</w:t>
      </w:r>
      <w:r w:rsidRPr="42098369" w:rsidR="42098369">
        <w:rPr>
          <w:color w:val="000000" w:themeColor="text1" w:themeTint="FF" w:themeShade="FF"/>
        </w:rPr>
        <w:t>DRfA</w:t>
      </w:r>
      <w:r w:rsidRPr="42098369" w:rsidR="42098369">
        <w:rPr>
          <w:color w:val="000000" w:themeColor="text1" w:themeTint="FF" w:themeShade="FF"/>
        </w:rPr>
        <w:t>) para insumos farmacêuticos ativos (IFAs) de medicamentos veterinários em alimentos de origem animal.</w:t>
      </w:r>
    </w:p>
    <w:p w:rsidRPr="0095312C" w:rsidR="008511CF" w:rsidP="42098369" w:rsidRDefault="008511CF" w14:paraId="1BAB0114" w14:textId="77777777" w14:noSpellErr="1">
      <w:pPr>
        <w:jc w:val="both"/>
        <w:rPr>
          <w:color w:val="000000" w:themeColor="text1"/>
        </w:rPr>
      </w:pPr>
    </w:p>
    <w:p w:rsidRPr="00580FA4" w:rsidR="008511CF" w:rsidP="42098369" w:rsidRDefault="008511CF" w14:paraId="0A552D32" w14:textId="71F6E8B0">
      <w:pPr>
        <w:pStyle w:val="PargrafodaLista"/>
        <w:numPr>
          <w:ilvl w:val="0"/>
          <w:numId w:val="5"/>
        </w:numPr>
        <w:ind w:left="0" w:firstLine="0"/>
        <w:jc w:val="both"/>
        <w:rPr>
          <w:rFonts w:eastAsia="Calibri" w:cs="Calibri" w:eastAsiaTheme="minorAscii" w:cstheme="minorAscii"/>
          <w:color w:val="000000" w:themeColor="text1"/>
        </w:rPr>
      </w:pPr>
      <w:hyperlink w:anchor="/visualizar/412267" r:id="Recf405bdc8ab4fb9">
        <w:r w:rsidRPr="42098369" w:rsidR="42098369">
          <w:rPr>
            <w:rStyle w:val="Hyperlink"/>
            <w:rFonts w:eastAsia="Calibri" w:eastAsiaTheme="minorAscii"/>
          </w:rPr>
          <w:t>RDC 332, de 23/12/2019</w:t>
        </w:r>
      </w:hyperlink>
      <w:r w:rsidRPr="42098369" w:rsidR="42098369">
        <w:rPr>
          <w:rFonts w:eastAsia="Calibri" w:eastAsiaTheme="minorAscii"/>
          <w:color w:val="000000" w:themeColor="text1" w:themeTint="FF" w:themeShade="FF"/>
        </w:rPr>
        <w:t>:</w:t>
      </w:r>
      <w:r w:rsidRPr="42098369" w:rsidR="42098369">
        <w:rPr>
          <w:color w:val="000000" w:themeColor="text1" w:themeTint="FF" w:themeShade="FF"/>
        </w:rPr>
        <w:t xml:space="preserve"> </w:t>
      </w:r>
      <w:r w:rsidRPr="42098369" w:rsidR="42098369">
        <w:rPr>
          <w:rFonts w:eastAsia="Calibri" w:eastAsiaTheme="minorAscii"/>
          <w:color w:val="000000" w:themeColor="text1" w:themeTint="FF" w:themeShade="FF"/>
        </w:rPr>
        <w:t>define os requisitos para uso de gorduras trans industriais em alimento</w:t>
      </w:r>
      <w:r w:rsidRPr="42098369" w:rsidR="42098369">
        <w:rPr>
          <w:rFonts w:eastAsia="Calibri" w:cs="Calibri" w:eastAsiaTheme="minorAscii" w:cstheme="minorAscii"/>
          <w:color w:val="000000" w:themeColor="text1" w:themeTint="FF" w:themeShade="FF"/>
        </w:rPr>
        <w:t>s.</w:t>
      </w:r>
    </w:p>
    <w:p w:rsidR="42098369" w:rsidP="42098369" w:rsidRDefault="42098369" w14:paraId="023007D7" w14:textId="052D61CA">
      <w:pPr>
        <w:pStyle w:val="Normal"/>
        <w:ind w:left="0" w:firstLine="0"/>
        <w:jc w:val="both"/>
        <w:rPr>
          <w:rFonts w:eastAsia="Calibri" w:cs="Calibri" w:eastAsiaTheme="minorAscii" w:cstheme="minorAscii"/>
          <w:color w:val="000000" w:themeColor="text1" w:themeTint="FF" w:themeShade="FF"/>
        </w:rPr>
      </w:pPr>
    </w:p>
    <w:p w:rsidRPr="007F2F87" w:rsidR="008511CF" w:rsidP="42098369" w:rsidRDefault="008511CF" w14:paraId="00B381E1" w14:textId="77777777" w14:noSpellErr="1">
      <w:pPr>
        <w:pStyle w:val="PargrafodaLista"/>
        <w:numPr>
          <w:ilvl w:val="0"/>
          <w:numId w:val="9"/>
        </w:numPr>
        <w:jc w:val="both"/>
        <w:rPr>
          <w:rFonts w:eastAsia="Calibri" w:cs="Calibri" w:eastAsiaTheme="minorAscii" w:cstheme="minorAscii"/>
          <w:color w:val="000000" w:themeColor="text1"/>
        </w:rPr>
      </w:pPr>
      <w:r w:rsidRPr="42098369">
        <w:rPr>
          <w:rFonts w:eastAsia="Calibri" w:cs="Calibri" w:eastAsiaTheme="minorAscii" w:cstheme="minorAscii"/>
          <w:color w:val="000000" w:themeColor="text1"/>
        </w:rPr>
        <w:t xml:space="preserve">A </w:t>
      </w:r>
      <w:hyperlink w:history="1" r:id="Rd2e58178cc494337">
        <w:r w:rsidRPr="42098369">
          <w:rPr>
            <w:rStyle w:val="Hyperlink"/>
            <w:rFonts w:cs="Calibri" w:cstheme="minorAscii"/>
            <w:shd w:val="clear" w:color="auto" w:fill="FFFFFF"/>
          </w:rPr>
          <w:t>proposta prevê a implantação da norma em três fases</w:t>
        </w:r>
      </w:hyperlink>
      <w:r w:rsidRPr="42098369">
        <w:rPr>
          <w:rFonts w:cs="Calibri" w:cstheme="minorAscii"/>
          <w:color w:val="000000" w:themeColor="text1"/>
          <w:shd w:val="clear" w:color="auto" w:fill="FFFFFF"/>
        </w:rPr>
        <w:t>, iniciando com o estabelecimento de limites de gorduras trans industriais para a indústria e serviços de alimentação e prosseguindo até o banimento do uso de gordura parcialmente hidrogenada até 2023.</w:t>
      </w:r>
    </w:p>
    <w:p w:rsidRPr="007F2F87" w:rsidR="008511CF" w:rsidP="42098369" w:rsidRDefault="008511CF" w14:paraId="018A3663" w14:textId="77777777" w14:noSpellErr="1">
      <w:pPr>
        <w:jc w:val="both"/>
        <w:rPr>
          <w:rFonts w:cs="Calibri" w:cstheme="minorAscii"/>
          <w:color w:val="000000" w:themeColor="text1"/>
        </w:rPr>
      </w:pPr>
    </w:p>
    <w:p w:rsidRPr="0007342E" w:rsidR="008511CF" w:rsidP="42098369" w:rsidRDefault="008511CF" w14:paraId="7A8BEFE1" w14:textId="1C283932">
      <w:pPr>
        <w:pStyle w:val="PargrafodaLista"/>
        <w:numPr>
          <w:ilvl w:val="0"/>
          <w:numId w:val="10"/>
        </w:numPr>
        <w:jc w:val="both"/>
        <w:rPr>
          <w:color w:val="000000" w:themeColor="text1"/>
        </w:rPr>
      </w:pPr>
      <w:r w:rsidRPr="42098369" w:rsidR="42098369">
        <w:rPr>
          <w:b w:val="1"/>
          <w:bCs w:val="1"/>
          <w:color w:val="000000" w:themeColor="text1" w:themeTint="FF" w:themeShade="FF"/>
        </w:rPr>
        <w:t>Guias publicados em 2019</w:t>
      </w:r>
    </w:p>
    <w:p w:rsidRPr="0007342E" w:rsidR="008511CF" w:rsidP="42098369" w:rsidRDefault="008511CF" w14:paraId="2E55166F" w14:textId="7E523C92">
      <w:pPr>
        <w:pStyle w:val="Normal"/>
        <w:ind w:left="360"/>
        <w:jc w:val="both"/>
        <w:rPr>
          <w:color w:val="000000" w:themeColor="text1"/>
        </w:rPr>
      </w:pPr>
      <w:r w:rsidRPr="42098369" w:rsidR="42098369">
        <w:rPr>
          <w:color w:val="000000" w:themeColor="text1" w:themeTint="FF" w:themeShade="FF"/>
        </w:rPr>
        <w:t xml:space="preserve"> </w:t>
      </w:r>
    </w:p>
    <w:p w:rsidRPr="001F6F2C" w:rsidR="008511CF" w:rsidP="42098369" w:rsidRDefault="008511CF" w14:paraId="114A7495" w14:textId="6AC6D825">
      <w:pPr>
        <w:pStyle w:val="PargrafodaLista"/>
        <w:numPr>
          <w:ilvl w:val="0"/>
          <w:numId w:val="9"/>
        </w:numPr>
        <w:jc w:val="both"/>
        <w:rPr>
          <w:color w:val="000000" w:themeColor="text1"/>
        </w:rPr>
      </w:pPr>
      <w:r w:rsidRPr="42098369" w:rsidR="42098369">
        <w:rPr>
          <w:color w:val="000000" w:themeColor="text1" w:themeTint="FF" w:themeShade="FF"/>
        </w:rPr>
        <w:t>Os guias formalizam recomendações que expressam o entendimento da Anvisa sobre procedimentos ou métodos considerados adequados ao cumprimento de requisitos exigidos pela legislação. São uma referência para a execução das normas, possibilitando abordagens alternativas, desde que atendidos os requisitos legais correspondentes.</w:t>
      </w:r>
    </w:p>
    <w:p w:rsidRPr="0095312C" w:rsidR="008511CF" w:rsidP="42098369" w:rsidRDefault="008511CF" w14:paraId="7067318F" w14:textId="77777777" w14:noSpellErr="1">
      <w:pPr>
        <w:jc w:val="both"/>
        <w:rPr>
          <w:color w:val="000000" w:themeColor="text1"/>
        </w:rPr>
      </w:pPr>
    </w:p>
    <w:p w:rsidRPr="001F6F2C" w:rsidR="008511CF" w:rsidP="42098369" w:rsidRDefault="006E10F8" w14:paraId="41E530B3" w14:textId="6561E462" w14:noSpellErr="1">
      <w:pPr>
        <w:pStyle w:val="PargrafodaLista"/>
        <w:numPr>
          <w:ilvl w:val="0"/>
          <w:numId w:val="12"/>
        </w:numPr>
        <w:jc w:val="both"/>
        <w:rPr>
          <w:color w:val="000000" w:themeColor="text1"/>
        </w:rPr>
      </w:pPr>
      <w:hyperlink r:id="R8de1568c058b4e41">
        <w:r w:rsidRPr="42098369" w:rsidR="42098369">
          <w:rPr>
            <w:rStyle w:val="Hyperlink"/>
          </w:rPr>
          <w:t>Guia para Instrução Processual de Petição de Avaliação de Probióticos para Uso em Alimentos – Guia 21, versão 1, de 21 de fevereiro de 2019</w:t>
        </w:r>
      </w:hyperlink>
      <w:r w:rsidRPr="42098369" w:rsidR="42098369">
        <w:rPr>
          <w:color w:val="000000" w:themeColor="text1" w:themeTint="FF" w:themeShade="FF"/>
        </w:rPr>
        <w:t>. Aberto para contribuição até 26/03/2020.</w:t>
      </w:r>
    </w:p>
    <w:p w:rsidR="42098369" w:rsidP="42098369" w:rsidRDefault="42098369" w14:paraId="1395919C" w14:textId="1D4905FD">
      <w:pPr>
        <w:pStyle w:val="Normal"/>
        <w:ind w:left="360"/>
        <w:jc w:val="both"/>
        <w:rPr>
          <w:color w:val="000000" w:themeColor="text1" w:themeTint="FF" w:themeShade="FF"/>
        </w:rPr>
      </w:pPr>
    </w:p>
    <w:p w:rsidRPr="001F6F2C" w:rsidR="008511CF" w:rsidP="42098369" w:rsidRDefault="008511CF" w14:paraId="108A1AEC" w14:textId="77777777" w14:noSpellErr="1">
      <w:pPr>
        <w:pStyle w:val="PargrafodaLista"/>
        <w:numPr>
          <w:ilvl w:val="0"/>
          <w:numId w:val="9"/>
        </w:numPr>
        <w:jc w:val="both"/>
        <w:rPr>
          <w:color w:val="000000" w:themeColor="text1"/>
        </w:rPr>
      </w:pPr>
      <w:r w:rsidRPr="42098369" w:rsidR="42098369">
        <w:rPr>
          <w:color w:val="000000" w:themeColor="text1" w:themeTint="FF" w:themeShade="FF"/>
        </w:rPr>
        <w:t>A publicação tem por objetivo harmonizar orientações sobre a forma de instrução das petições, abordando os aspectos relacionados à identidade, segurança e eficácia dos probióticos.</w:t>
      </w:r>
    </w:p>
    <w:p w:rsidRPr="0095312C" w:rsidR="008511CF" w:rsidP="42098369" w:rsidRDefault="008511CF" w14:paraId="1D3785AF" w14:textId="77777777" w14:noSpellErr="1">
      <w:pPr>
        <w:jc w:val="both"/>
        <w:rPr>
          <w:color w:val="000000" w:themeColor="text1"/>
        </w:rPr>
      </w:pPr>
    </w:p>
    <w:p w:rsidRPr="001F6F2C" w:rsidR="008511CF" w:rsidP="42098369" w:rsidRDefault="00E10EA0" w14:paraId="76105C05" w14:textId="74FC728E" w14:noSpellErr="1">
      <w:pPr>
        <w:pStyle w:val="PargrafodaLista"/>
        <w:numPr>
          <w:ilvl w:val="0"/>
          <w:numId w:val="12"/>
        </w:numPr>
        <w:jc w:val="both"/>
        <w:rPr>
          <w:color w:val="000000" w:themeColor="text1"/>
        </w:rPr>
      </w:pPr>
      <w:hyperlink r:id="R924c3282f64a4e36">
        <w:r w:rsidRPr="42098369" w:rsidR="42098369">
          <w:rPr>
            <w:rStyle w:val="Hyperlink"/>
          </w:rPr>
          <w:t>Guia para Comprovação da Segurança de Alimentos e Ingredientes - Guia 23, versão 1, de 23 de julho de 2019</w:t>
        </w:r>
      </w:hyperlink>
      <w:r w:rsidRPr="42098369" w:rsidR="42098369">
        <w:rPr>
          <w:color w:val="000000" w:themeColor="text1" w:themeTint="FF" w:themeShade="FF"/>
        </w:rPr>
        <w:t>. Aberto para contribuição até 10/08/2020.</w:t>
      </w:r>
      <w:bookmarkStart w:name="_GoBack" w:id="0"/>
      <w:bookmarkEnd w:id="0"/>
    </w:p>
    <w:p w:rsidR="42098369" w:rsidP="42098369" w:rsidRDefault="42098369" w14:paraId="220EAA2E" w14:textId="7B22246E">
      <w:pPr>
        <w:pStyle w:val="Normal"/>
        <w:ind w:left="360"/>
        <w:jc w:val="both"/>
        <w:rPr>
          <w:color w:val="000000" w:themeColor="text1" w:themeTint="FF" w:themeShade="FF"/>
        </w:rPr>
      </w:pPr>
    </w:p>
    <w:p w:rsidRPr="001F6F2C" w:rsidR="008511CF" w:rsidP="42098369" w:rsidRDefault="008511CF" w14:paraId="6CA716A9" w14:textId="77777777" w14:noSpellErr="1">
      <w:pPr>
        <w:pStyle w:val="PargrafodaLista"/>
        <w:numPr>
          <w:ilvl w:val="0"/>
          <w:numId w:val="9"/>
        </w:numPr>
        <w:jc w:val="both"/>
        <w:rPr>
          <w:color w:val="000000" w:themeColor="text1"/>
        </w:rPr>
      </w:pPr>
      <w:r w:rsidRPr="42098369" w:rsidR="42098369">
        <w:rPr>
          <w:color w:val="000000" w:themeColor="text1" w:themeTint="FF" w:themeShade="FF"/>
        </w:rPr>
        <w:t xml:space="preserve">O documento fornece orientações sobre as informações </w:t>
      </w:r>
      <w:r w:rsidRPr="42098369" w:rsidR="42098369">
        <w:rPr>
          <w:color w:val="000000" w:themeColor="text1" w:themeTint="FF" w:themeShade="FF"/>
        </w:rPr>
        <w:t xml:space="preserve">necessárias </w:t>
      </w:r>
      <w:r w:rsidRPr="42098369" w:rsidR="42098369">
        <w:rPr>
          <w:color w:val="000000" w:themeColor="text1" w:themeTint="FF" w:themeShade="FF"/>
        </w:rPr>
        <w:t>para fundamentar as petições submetidas à A</w:t>
      </w:r>
      <w:r w:rsidRPr="42098369" w:rsidR="42098369">
        <w:rPr>
          <w:color w:val="000000" w:themeColor="text1" w:themeTint="FF" w:themeShade="FF"/>
        </w:rPr>
        <w:t xml:space="preserve">nvisa </w:t>
      </w:r>
      <w:r w:rsidRPr="42098369" w:rsidR="42098369">
        <w:rPr>
          <w:color w:val="000000" w:themeColor="text1" w:themeTint="FF" w:themeShade="FF"/>
        </w:rPr>
        <w:t>para a comprovação da segurança de uso de alimentos e ingredientes, bem como sobre os procedimentos administrativos que devem ser observados pelos interessados.</w:t>
      </w:r>
    </w:p>
    <w:p w:rsidRPr="0095312C" w:rsidR="008511CF" w:rsidP="008511CF" w:rsidRDefault="008511CF" w14:paraId="611D527F" w14:textId="77777777">
      <w:pPr>
        <w:rPr>
          <w:color w:val="000000" w:themeColor="text1"/>
        </w:rPr>
      </w:pPr>
    </w:p>
    <w:p w:rsidRPr="0095312C" w:rsidR="008511CF" w:rsidP="008511CF" w:rsidRDefault="008511CF" w14:paraId="3CF2AAC7" w14:textId="77777777">
      <w:pPr>
        <w:rPr>
          <w:color w:val="000000" w:themeColor="text1"/>
        </w:rPr>
      </w:pPr>
      <w:r>
        <w:rPr>
          <w:color w:val="000000" w:themeColor="text1"/>
        </w:rPr>
        <w:t>Confira abaixo os p</w:t>
      </w:r>
      <w:r w:rsidRPr="0095312C">
        <w:rPr>
          <w:color w:val="000000" w:themeColor="text1"/>
        </w:rPr>
        <w:t xml:space="preserve">rocessos regulatórios abertos pela GGALI em 2019: </w:t>
      </w:r>
    </w:p>
    <w:p w:rsidRPr="0095312C" w:rsidR="008511CF" w:rsidP="008511CF" w:rsidRDefault="008511CF" w14:paraId="448E6990" w14:textId="77777777">
      <w:pPr>
        <w:rPr>
          <w:color w:val="000000" w:themeColor="text1"/>
        </w:rPr>
      </w:pPr>
    </w:p>
    <w:p w:rsidRPr="0095312C" w:rsidR="008511CF" w:rsidP="008511CF" w:rsidRDefault="008511CF" w14:paraId="267487EA" w14:textId="77777777">
      <w:pPr>
        <w:rPr>
          <w:color w:val="000000" w:themeColor="text1"/>
        </w:rPr>
      </w:pPr>
      <w:r>
        <w:drawing>
          <wp:inline wp14:editId="61BC1EFD" wp14:anchorId="2AD6F131">
            <wp:extent cx="2796540" cy="3647946"/>
            <wp:effectExtent l="0" t="0" r="3810" b="0"/>
            <wp:docPr id="467415784" name="Imagem 2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m 2"/>
                    <pic:cNvPicPr/>
                  </pic:nvPicPr>
                  <pic:blipFill>
                    <a:blip r:embed="Rcda6303b803c4d40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796540" cy="3647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95312C" w:rsidR="008511CF" w:rsidP="008511CF" w:rsidRDefault="008511CF" w14:paraId="5F8EE43D" w14:textId="77777777">
      <w:pPr>
        <w:rPr>
          <w:color w:val="000000" w:themeColor="text1"/>
        </w:rPr>
      </w:pPr>
    </w:p>
    <w:p w:rsidRPr="0095312C" w:rsidR="008511CF" w:rsidP="008511CF" w:rsidRDefault="008511CF" w14:paraId="07D6D5E6" w14:textId="77777777">
      <w:pPr>
        <w:rPr>
          <w:color w:val="000000" w:themeColor="text1"/>
        </w:rPr>
      </w:pPr>
      <w:r>
        <w:rPr>
          <w:color w:val="000000" w:themeColor="text1"/>
        </w:rPr>
        <w:t>Confira também as a</w:t>
      </w:r>
      <w:r w:rsidRPr="0095312C">
        <w:rPr>
          <w:color w:val="000000" w:themeColor="text1"/>
        </w:rPr>
        <w:t xml:space="preserve">tividades desenvolvidas em 2019 para promover a participação social sobre os processos regulatórios: </w:t>
      </w:r>
    </w:p>
    <w:p w:rsidRPr="0095312C" w:rsidR="008511CF" w:rsidP="008511CF" w:rsidRDefault="008511CF" w14:paraId="57D894F2" w14:textId="77777777">
      <w:pPr>
        <w:rPr>
          <w:color w:val="000000" w:themeColor="text1"/>
        </w:rPr>
      </w:pPr>
      <w:r>
        <w:drawing>
          <wp:inline wp14:editId="1EA9A2F8" wp14:anchorId="0DDF7FE4">
            <wp:extent cx="2819400" cy="3785305"/>
            <wp:effectExtent l="0" t="0" r="0" b="5715"/>
            <wp:docPr id="1097803341" name="Imagem 3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m 3"/>
                    <pic:cNvPicPr/>
                  </pic:nvPicPr>
                  <pic:blipFill>
                    <a:blip r:embed="R263096280b224ae1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819400" cy="3785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wp14:editId="561EF8AB" wp14:anchorId="14A49248">
            <wp:extent cx="2560320" cy="3598545"/>
            <wp:effectExtent l="0" t="0" r="0" b="1905"/>
            <wp:docPr id="2058225261" name="Imagem 4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m 4"/>
                    <pic:cNvPicPr/>
                  </pic:nvPicPr>
                  <pic:blipFill>
                    <a:blip r:embed="R7b9d2eafde5d4a6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560320" cy="3598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8511CF" w:rsidR="00AE4046" w:rsidP="008511CF" w:rsidRDefault="00AE4046" w14:paraId="1DA8FC48" w14:textId="77777777"/>
    <w:sectPr w:rsidRPr="008511CF" w:rsidR="00AE4046"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35C17"/>
    <w:multiLevelType w:val="hybridMultilevel"/>
    <w:tmpl w:val="0F1C0ACC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DC733A8"/>
    <w:multiLevelType w:val="hybridMultilevel"/>
    <w:tmpl w:val="F54E3120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45E05C8"/>
    <w:multiLevelType w:val="hybridMultilevel"/>
    <w:tmpl w:val="FDD20840"/>
    <w:lvl w:ilvl="0" w:tplc="04160009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57E356D"/>
    <w:multiLevelType w:val="hybridMultilevel"/>
    <w:tmpl w:val="CC5EF138"/>
    <w:lvl w:ilvl="0" w:tplc="870092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/>
      </w:rPr>
    </w:lvl>
    <w:lvl w:ilvl="1" w:tplc="79F8C0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/>
      </w:rPr>
    </w:lvl>
    <w:lvl w:ilvl="2" w:tplc="5E30D9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Times New Roman" w:hAnsi="Times New Roman"/>
      </w:rPr>
    </w:lvl>
    <w:lvl w:ilvl="3" w:tplc="6150CD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Times New Roman" w:hAnsi="Times New Roman"/>
      </w:rPr>
    </w:lvl>
    <w:lvl w:ilvl="4" w:tplc="836415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Times New Roman" w:hAnsi="Times New Roman"/>
      </w:rPr>
    </w:lvl>
    <w:lvl w:ilvl="5" w:tplc="3BA236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Times New Roman" w:hAnsi="Times New Roman"/>
      </w:rPr>
    </w:lvl>
    <w:lvl w:ilvl="6" w:tplc="B47EEF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Times New Roman" w:hAnsi="Times New Roman"/>
      </w:rPr>
    </w:lvl>
    <w:lvl w:ilvl="7" w:tplc="B4048B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Times New Roman" w:hAnsi="Times New Roman"/>
      </w:rPr>
    </w:lvl>
    <w:lvl w:ilvl="8" w:tplc="6C7897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Times New Roman" w:hAnsi="Times New Roman"/>
      </w:rPr>
    </w:lvl>
  </w:abstractNum>
  <w:abstractNum w:abstractNumId="4" w15:restartNumberingAfterBreak="0">
    <w:nsid w:val="1B5E1BEA"/>
    <w:multiLevelType w:val="hybridMultilevel"/>
    <w:tmpl w:val="95D480D0"/>
    <w:lvl w:ilvl="0" w:tplc="0416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23802DC"/>
    <w:multiLevelType w:val="hybridMultilevel"/>
    <w:tmpl w:val="A33CB4D0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6622CE7"/>
    <w:multiLevelType w:val="hybridMultilevel"/>
    <w:tmpl w:val="69DA4AB6"/>
    <w:lvl w:ilvl="0" w:tplc="0416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A876C74"/>
    <w:multiLevelType w:val="hybridMultilevel"/>
    <w:tmpl w:val="CE54E9D2"/>
    <w:lvl w:ilvl="0" w:tplc="C82E36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/>
      </w:rPr>
    </w:lvl>
    <w:lvl w:ilvl="1" w:tplc="95625C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/>
      </w:rPr>
    </w:lvl>
    <w:lvl w:ilvl="2" w:tplc="6298C3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Times New Roman" w:hAnsi="Times New Roman"/>
      </w:rPr>
    </w:lvl>
    <w:lvl w:ilvl="3" w:tplc="E0E8A9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Times New Roman" w:hAnsi="Times New Roman"/>
      </w:rPr>
    </w:lvl>
    <w:lvl w:ilvl="4" w:tplc="468022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Times New Roman" w:hAnsi="Times New Roman"/>
      </w:rPr>
    </w:lvl>
    <w:lvl w:ilvl="5" w:tplc="C3227E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Times New Roman" w:hAnsi="Times New Roman"/>
      </w:rPr>
    </w:lvl>
    <w:lvl w:ilvl="6" w:tplc="F3C6A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Times New Roman" w:hAnsi="Times New Roman"/>
      </w:rPr>
    </w:lvl>
    <w:lvl w:ilvl="7" w:tplc="ADECA6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Times New Roman" w:hAnsi="Times New Roman"/>
      </w:rPr>
    </w:lvl>
    <w:lvl w:ilvl="8" w:tplc="47CA76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Times New Roman" w:hAnsi="Times New Roman"/>
      </w:rPr>
    </w:lvl>
  </w:abstractNum>
  <w:abstractNum w:abstractNumId="8" w15:restartNumberingAfterBreak="0">
    <w:nsid w:val="54767010"/>
    <w:multiLevelType w:val="hybridMultilevel"/>
    <w:tmpl w:val="E9CE2D22"/>
    <w:lvl w:ilvl="0" w:tplc="0416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582B351C"/>
    <w:multiLevelType w:val="hybridMultilevel"/>
    <w:tmpl w:val="7ABE4F3A"/>
    <w:lvl w:ilvl="0" w:tplc="E0D261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/>
      </w:rPr>
    </w:lvl>
    <w:lvl w:ilvl="1" w:tplc="48A439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/>
      </w:rPr>
    </w:lvl>
    <w:lvl w:ilvl="2" w:tplc="1CA090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Times New Roman" w:hAnsi="Times New Roman"/>
      </w:rPr>
    </w:lvl>
    <w:lvl w:ilvl="3" w:tplc="8646D4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Times New Roman" w:hAnsi="Times New Roman"/>
      </w:rPr>
    </w:lvl>
    <w:lvl w:ilvl="4" w:tplc="18863A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Times New Roman" w:hAnsi="Times New Roman"/>
      </w:rPr>
    </w:lvl>
    <w:lvl w:ilvl="5" w:tplc="9A4033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Times New Roman" w:hAnsi="Times New Roman"/>
      </w:rPr>
    </w:lvl>
    <w:lvl w:ilvl="6" w:tplc="A82400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Times New Roman" w:hAnsi="Times New Roman"/>
      </w:rPr>
    </w:lvl>
    <w:lvl w:ilvl="7" w:tplc="B20293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Times New Roman" w:hAnsi="Times New Roman"/>
      </w:rPr>
    </w:lvl>
    <w:lvl w:ilvl="8" w:tplc="FAD69C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Times New Roman" w:hAnsi="Times New Roman"/>
      </w:rPr>
    </w:lvl>
  </w:abstractNum>
  <w:abstractNum w:abstractNumId="10" w15:restartNumberingAfterBreak="0">
    <w:nsid w:val="73792D5D"/>
    <w:multiLevelType w:val="hybridMultilevel"/>
    <w:tmpl w:val="4426EF9C"/>
    <w:lvl w:ilvl="0" w:tplc="304E86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/>
      </w:rPr>
    </w:lvl>
    <w:lvl w:ilvl="1" w:tplc="5EBCF1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/>
      </w:rPr>
    </w:lvl>
    <w:lvl w:ilvl="2" w:tplc="9924A8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Times New Roman" w:hAnsi="Times New Roman"/>
      </w:rPr>
    </w:lvl>
    <w:lvl w:ilvl="3" w:tplc="083C66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Times New Roman" w:hAnsi="Times New Roman"/>
      </w:rPr>
    </w:lvl>
    <w:lvl w:ilvl="4" w:tplc="6F661E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Times New Roman" w:hAnsi="Times New Roman"/>
      </w:rPr>
    </w:lvl>
    <w:lvl w:ilvl="5" w:tplc="26ACED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Times New Roman" w:hAnsi="Times New Roman"/>
      </w:rPr>
    </w:lvl>
    <w:lvl w:ilvl="6" w:tplc="BFEEB7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Times New Roman" w:hAnsi="Times New Roman"/>
      </w:rPr>
    </w:lvl>
    <w:lvl w:ilvl="7" w:tplc="43E88F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Times New Roman" w:hAnsi="Times New Roman"/>
      </w:rPr>
    </w:lvl>
    <w:lvl w:ilvl="8" w:tplc="C17ADC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Times New Roman" w:hAnsi="Times New Roman"/>
      </w:rPr>
    </w:lvl>
  </w:abstractNum>
  <w:abstractNum w:abstractNumId="11" w15:restartNumberingAfterBreak="0">
    <w:nsid w:val="757320DD"/>
    <w:multiLevelType w:val="hybridMultilevel"/>
    <w:tmpl w:val="DB4A2048"/>
    <w:lvl w:ilvl="0" w:tplc="D0561C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/>
      </w:rPr>
    </w:lvl>
    <w:lvl w:ilvl="1" w:tplc="92B817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/>
      </w:rPr>
    </w:lvl>
    <w:lvl w:ilvl="2" w:tplc="F92212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Times New Roman" w:hAnsi="Times New Roman"/>
      </w:rPr>
    </w:lvl>
    <w:lvl w:ilvl="3" w:tplc="29A4C2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Times New Roman" w:hAnsi="Times New Roman"/>
      </w:rPr>
    </w:lvl>
    <w:lvl w:ilvl="4" w:tplc="61988A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Times New Roman" w:hAnsi="Times New Roman"/>
      </w:rPr>
    </w:lvl>
    <w:lvl w:ilvl="5" w:tplc="B36EF6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Times New Roman" w:hAnsi="Times New Roman"/>
      </w:rPr>
    </w:lvl>
    <w:lvl w:ilvl="6" w:tplc="B28C4F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Times New Roman" w:hAnsi="Times New Roman"/>
      </w:rPr>
    </w:lvl>
    <w:lvl w:ilvl="7" w:tplc="3364CA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Times New Roman" w:hAnsi="Times New Roman"/>
      </w:rPr>
    </w:lvl>
    <w:lvl w:ilvl="8" w:tplc="877AE3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Times New Roman" w:hAnsi="Times New Roman"/>
      </w:r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10"/>
  </w:num>
  <w:num w:numId="5">
    <w:abstractNumId w:val="9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2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2C6"/>
    <w:rsid w:val="00020359"/>
    <w:rsid w:val="0002378A"/>
    <w:rsid w:val="0003653A"/>
    <w:rsid w:val="000446CC"/>
    <w:rsid w:val="00056D0F"/>
    <w:rsid w:val="0007342E"/>
    <w:rsid w:val="00085E8A"/>
    <w:rsid w:val="00087F2F"/>
    <w:rsid w:val="000A1C2D"/>
    <w:rsid w:val="000C1B24"/>
    <w:rsid w:val="000F3FA0"/>
    <w:rsid w:val="00123745"/>
    <w:rsid w:val="00131E63"/>
    <w:rsid w:val="001569F7"/>
    <w:rsid w:val="00157C70"/>
    <w:rsid w:val="00164EDA"/>
    <w:rsid w:val="00165AF1"/>
    <w:rsid w:val="001760F2"/>
    <w:rsid w:val="001851B5"/>
    <w:rsid w:val="001D392B"/>
    <w:rsid w:val="001F17DD"/>
    <w:rsid w:val="001F6F2C"/>
    <w:rsid w:val="002172E5"/>
    <w:rsid w:val="00225A42"/>
    <w:rsid w:val="002261C2"/>
    <w:rsid w:val="0023484B"/>
    <w:rsid w:val="002566A3"/>
    <w:rsid w:val="00270600"/>
    <w:rsid w:val="002C62AA"/>
    <w:rsid w:val="002D1292"/>
    <w:rsid w:val="002E4721"/>
    <w:rsid w:val="002E5BF5"/>
    <w:rsid w:val="002E7229"/>
    <w:rsid w:val="002F1E34"/>
    <w:rsid w:val="003415F5"/>
    <w:rsid w:val="0034347C"/>
    <w:rsid w:val="00383B42"/>
    <w:rsid w:val="003D0020"/>
    <w:rsid w:val="003D04C6"/>
    <w:rsid w:val="003D6E65"/>
    <w:rsid w:val="003D71FB"/>
    <w:rsid w:val="003E1B37"/>
    <w:rsid w:val="003E63E8"/>
    <w:rsid w:val="004565F0"/>
    <w:rsid w:val="0047170F"/>
    <w:rsid w:val="00471C29"/>
    <w:rsid w:val="00495E45"/>
    <w:rsid w:val="004A2F00"/>
    <w:rsid w:val="004C4CFE"/>
    <w:rsid w:val="004D4186"/>
    <w:rsid w:val="004F24AD"/>
    <w:rsid w:val="005034A7"/>
    <w:rsid w:val="00504088"/>
    <w:rsid w:val="00521517"/>
    <w:rsid w:val="0053731F"/>
    <w:rsid w:val="0054680E"/>
    <w:rsid w:val="0057437D"/>
    <w:rsid w:val="00574FAA"/>
    <w:rsid w:val="005770D3"/>
    <w:rsid w:val="00580FA4"/>
    <w:rsid w:val="00581660"/>
    <w:rsid w:val="00583901"/>
    <w:rsid w:val="005B75E3"/>
    <w:rsid w:val="005C79C2"/>
    <w:rsid w:val="005F3F60"/>
    <w:rsid w:val="005F7096"/>
    <w:rsid w:val="0060392B"/>
    <w:rsid w:val="006147D1"/>
    <w:rsid w:val="006A36EE"/>
    <w:rsid w:val="006B278C"/>
    <w:rsid w:val="006B75CB"/>
    <w:rsid w:val="006D47E8"/>
    <w:rsid w:val="006E10F8"/>
    <w:rsid w:val="006E3DE6"/>
    <w:rsid w:val="006E5F53"/>
    <w:rsid w:val="006E71CB"/>
    <w:rsid w:val="00703968"/>
    <w:rsid w:val="0072107A"/>
    <w:rsid w:val="007242C6"/>
    <w:rsid w:val="00770781"/>
    <w:rsid w:val="00771297"/>
    <w:rsid w:val="00772863"/>
    <w:rsid w:val="00774F8A"/>
    <w:rsid w:val="00785882"/>
    <w:rsid w:val="007957B2"/>
    <w:rsid w:val="007A01A6"/>
    <w:rsid w:val="007E6529"/>
    <w:rsid w:val="007F2F87"/>
    <w:rsid w:val="007F3D75"/>
    <w:rsid w:val="00814153"/>
    <w:rsid w:val="008355F9"/>
    <w:rsid w:val="00835947"/>
    <w:rsid w:val="008448B2"/>
    <w:rsid w:val="008511CF"/>
    <w:rsid w:val="00882500"/>
    <w:rsid w:val="008B3D91"/>
    <w:rsid w:val="008B4599"/>
    <w:rsid w:val="008B4785"/>
    <w:rsid w:val="008C16A1"/>
    <w:rsid w:val="008D6F6A"/>
    <w:rsid w:val="008E7619"/>
    <w:rsid w:val="0091589B"/>
    <w:rsid w:val="0095312C"/>
    <w:rsid w:val="00961B2D"/>
    <w:rsid w:val="0096658D"/>
    <w:rsid w:val="00966E46"/>
    <w:rsid w:val="00983C20"/>
    <w:rsid w:val="009A2321"/>
    <w:rsid w:val="009C2C1F"/>
    <w:rsid w:val="009C552D"/>
    <w:rsid w:val="009D0B6B"/>
    <w:rsid w:val="00A011B3"/>
    <w:rsid w:val="00A04FF8"/>
    <w:rsid w:val="00A12B7F"/>
    <w:rsid w:val="00A67C64"/>
    <w:rsid w:val="00A95685"/>
    <w:rsid w:val="00AE0D92"/>
    <w:rsid w:val="00AE4046"/>
    <w:rsid w:val="00B55B72"/>
    <w:rsid w:val="00B62094"/>
    <w:rsid w:val="00B66F01"/>
    <w:rsid w:val="00B71460"/>
    <w:rsid w:val="00B75141"/>
    <w:rsid w:val="00B8513C"/>
    <w:rsid w:val="00B92969"/>
    <w:rsid w:val="00B9488F"/>
    <w:rsid w:val="00BA1078"/>
    <w:rsid w:val="00BC5C89"/>
    <w:rsid w:val="00BC744D"/>
    <w:rsid w:val="00BC781A"/>
    <w:rsid w:val="00C10889"/>
    <w:rsid w:val="00C16593"/>
    <w:rsid w:val="00C2331D"/>
    <w:rsid w:val="00C772B4"/>
    <w:rsid w:val="00CA5BBA"/>
    <w:rsid w:val="00CD5451"/>
    <w:rsid w:val="00CD5EFA"/>
    <w:rsid w:val="00CE5964"/>
    <w:rsid w:val="00CF663A"/>
    <w:rsid w:val="00D42BFB"/>
    <w:rsid w:val="00D6676D"/>
    <w:rsid w:val="00DA002A"/>
    <w:rsid w:val="00DA74D1"/>
    <w:rsid w:val="00DE369E"/>
    <w:rsid w:val="00DF47A2"/>
    <w:rsid w:val="00E02E1B"/>
    <w:rsid w:val="00E10EA0"/>
    <w:rsid w:val="00E2107A"/>
    <w:rsid w:val="00E22F57"/>
    <w:rsid w:val="00E25485"/>
    <w:rsid w:val="00E35334"/>
    <w:rsid w:val="00E410E9"/>
    <w:rsid w:val="00E734B6"/>
    <w:rsid w:val="00E7701C"/>
    <w:rsid w:val="00E93DFF"/>
    <w:rsid w:val="00EE41C8"/>
    <w:rsid w:val="00EE4F7A"/>
    <w:rsid w:val="00F32DED"/>
    <w:rsid w:val="00F34627"/>
    <w:rsid w:val="00F574C9"/>
    <w:rsid w:val="00F61A2D"/>
    <w:rsid w:val="00F750D6"/>
    <w:rsid w:val="00F84FA0"/>
    <w:rsid w:val="00FA08D9"/>
    <w:rsid w:val="00FA3072"/>
    <w:rsid w:val="00FA353F"/>
    <w:rsid w:val="00FB15D1"/>
    <w:rsid w:val="00FB2CB5"/>
    <w:rsid w:val="00FB4B3F"/>
    <w:rsid w:val="00FF4670"/>
    <w:rsid w:val="42098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E6E82"/>
  <w15:chartTrackingRefBased/>
  <w15:docId w15:val="{006E1FB9-E94B-41E8-AEEB-1E489428B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7242C6"/>
    <w:pPr>
      <w:spacing w:after="0" w:line="240" w:lineRule="auto"/>
    </w:pPr>
    <w:rPr>
      <w:rFonts w:eastAsiaTheme="minorEastAsia"/>
      <w:sz w:val="24"/>
      <w:szCs w:val="24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242C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A353F"/>
    <w:pPr>
      <w:spacing w:before="100" w:beforeAutospacing="1" w:after="100" w:afterAutospacing="1"/>
    </w:pPr>
    <w:rPr>
      <w:rFonts w:ascii="Times New Roman" w:hAnsi="Times New Roman" w:eastAsia="Times New Roman" w:cs="Times New Roman"/>
      <w:lang w:eastAsia="pt-BR"/>
    </w:rPr>
  </w:style>
  <w:style w:type="character" w:styleId="Hyperlink">
    <w:name w:val="Hyperlink"/>
    <w:basedOn w:val="Fontepargpadro"/>
    <w:uiPriority w:val="99"/>
    <w:unhideWhenUsed/>
    <w:rsid w:val="000446CC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446CC"/>
    <w:rPr>
      <w:color w:val="808080"/>
      <w:shd w:val="clear" w:color="auto" w:fill="E6E6E6"/>
    </w:rPr>
  </w:style>
  <w:style w:type="character" w:styleId="Refdecomentrio">
    <w:name w:val="annotation reference"/>
    <w:basedOn w:val="Fontepargpadro"/>
    <w:uiPriority w:val="99"/>
    <w:semiHidden/>
    <w:unhideWhenUsed/>
    <w:rsid w:val="00AE404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E4046"/>
    <w:pPr>
      <w:spacing w:after="160"/>
    </w:pPr>
    <w:rPr>
      <w:rFonts w:eastAsiaTheme="minorHAnsi"/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/>
    <w:rsid w:val="00AE4046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E4046"/>
    <w:rPr>
      <w:rFonts w:ascii="Segoe UI" w:hAnsi="Segoe UI" w:cs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AE4046"/>
    <w:rPr>
      <w:rFonts w:ascii="Segoe UI" w:hAnsi="Segoe UI" w:cs="Segoe UI" w:eastAsiaTheme="minorEastAsia"/>
      <w:sz w:val="18"/>
      <w:szCs w:val="18"/>
    </w:rPr>
  </w:style>
  <w:style w:type="character" w:styleId="HiperlinkVisitado">
    <w:name w:val="FollowedHyperlink"/>
    <w:basedOn w:val="Fontepargpadro"/>
    <w:uiPriority w:val="99"/>
    <w:semiHidden/>
    <w:unhideWhenUsed/>
    <w:rsid w:val="00F750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805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8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26" /><Relationship Type="http://schemas.openxmlformats.org/officeDocument/2006/relationships/settings" Target="settings.xml" Id="rId3" /><Relationship Type="http://schemas.openxmlformats.org/officeDocument/2006/relationships/customXml" Target="../customXml/item1.xml" Id="rId25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24" /><Relationship Type="http://schemas.openxmlformats.org/officeDocument/2006/relationships/fontTable" Target="fontTable.xml" Id="rId23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27" /><Relationship Type="http://schemas.openxmlformats.org/officeDocument/2006/relationships/hyperlink" Target="http://portal.anvisa.gov.br/legislacao/?inheritRedirect=true" TargetMode="External" Id="R62cd703319ea48b8" /><Relationship Type="http://schemas.openxmlformats.org/officeDocument/2006/relationships/hyperlink" Target="http://portal.anvisa.gov.br/legislacao/?inheritRedirect=true" TargetMode="External" Id="Red74342479d547c0" /><Relationship Type="http://schemas.openxmlformats.org/officeDocument/2006/relationships/hyperlink" Target="http://portal.anvisa.gov.br/legislacao/?inheritRedirect=true" TargetMode="External" Id="R5948d1d4d3dc4e08" /><Relationship Type="http://schemas.openxmlformats.org/officeDocument/2006/relationships/hyperlink" Target="http://portal.anvisa.gov.br/legislacao/?inheritRedirect=true" TargetMode="External" Id="Rb79e37de7bdd422d" /><Relationship Type="http://schemas.openxmlformats.org/officeDocument/2006/relationships/hyperlink" Target="http://portal.anvisa.gov.br/legislacao" TargetMode="External" Id="R3ecff99efede4418" /><Relationship Type="http://schemas.openxmlformats.org/officeDocument/2006/relationships/hyperlink" Target="http://portal.anvisa.gov.br/legislacao" TargetMode="External" Id="Rca4ad3fa1d6e47ca" /><Relationship Type="http://schemas.openxmlformats.org/officeDocument/2006/relationships/hyperlink" Target="http://portal.anvisa.gov.br/legislacao" TargetMode="External" Id="R8d7a9d6621b14e34" /><Relationship Type="http://schemas.openxmlformats.org/officeDocument/2006/relationships/hyperlink" Target="http://portal.anvisa.gov.br/legislacao" TargetMode="External" Id="Rcb13f1961b2c4c44" /><Relationship Type="http://schemas.openxmlformats.org/officeDocument/2006/relationships/hyperlink" Target="http://portal.anvisa.gov.br/legislacao" TargetMode="External" Id="R4e75d6479db74bd4" /><Relationship Type="http://schemas.openxmlformats.org/officeDocument/2006/relationships/hyperlink" Target="http://portal.anvisa.gov.br/legislacao" TargetMode="External" Id="R746276e0e8b543b0" /><Relationship Type="http://schemas.openxmlformats.org/officeDocument/2006/relationships/hyperlink" Target="http://portal.anvisa.gov.br/legislacao" TargetMode="External" Id="R43232a76e7cf4578" /><Relationship Type="http://schemas.openxmlformats.org/officeDocument/2006/relationships/hyperlink" Target="http://portal.anvisa.gov.br/legislacao" TargetMode="External" Id="Recf405bdc8ab4fb9" /><Relationship Type="http://schemas.openxmlformats.org/officeDocument/2006/relationships/hyperlink" Target="http://portal.anvisa.gov.br/noticias?p_p_id=101_INSTANCE_FXrpx9qY7FbU&amp;p_p_col_id=column-2&amp;p_p_col_pos=1&amp;p_p_col_count=2&amp;_101_INSTANCE_FXrpx9qY7FbU_groupId=219201&amp;_101_INSTANCE_FXrpx9qY7FbU_urlTitle=anvisa-aprova-controle-de-gordura-trans-em-alimentos&amp;_101_INSTANCE_FXrpx9qY7FbU_struts_action=%2Fasset_publisher%2Fview_content&amp;_101_INSTANCE_FXrpx9qY7FbU_assetEntryId=5723840&amp;_101_INSTANCE_FXrpx9qY7FbU_type=content" TargetMode="External" Id="Rd2e58178cc494337" /><Relationship Type="http://schemas.openxmlformats.org/officeDocument/2006/relationships/hyperlink" Target="http://portal.anvisa.gov.br/documents/10181/5280930/21.pdf/1c99eeb1-7143-469a-93ff-7b2b0f9187c0" TargetMode="External" Id="R8de1568c058b4e41" /><Relationship Type="http://schemas.openxmlformats.org/officeDocument/2006/relationships/hyperlink" Target="http://portal.anvisa.gov.br/documents/10181/5355698/Guia+Seguran%C3%A7a+de+Alimentos.pdf/dae93caa-7418-4b9a-97f2-2ec9ebc139e2" TargetMode="External" Id="R924c3282f64a4e36" /><Relationship Type="http://schemas.openxmlformats.org/officeDocument/2006/relationships/image" Target="/media/image4.png" Id="Rcda6303b803c4d40" /><Relationship Type="http://schemas.openxmlformats.org/officeDocument/2006/relationships/image" Target="/media/image5.png" Id="R263096280b224ae1" /><Relationship Type="http://schemas.openxmlformats.org/officeDocument/2006/relationships/image" Target="/media/image6.png" Id="R7b9d2eafde5d4a6f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D1906765CA30D4A8B2291F9854AE029" ma:contentTypeVersion="10" ma:contentTypeDescription="Crie um novo documento." ma:contentTypeScope="" ma:versionID="4dcf4a850141821dc745749db9ac60e9">
  <xsd:schema xmlns:xsd="http://www.w3.org/2001/XMLSchema" xmlns:xs="http://www.w3.org/2001/XMLSchema" xmlns:p="http://schemas.microsoft.com/office/2006/metadata/properties" xmlns:ns2="428a53f1-658d-4ee5-a76d-b00116534d7d" xmlns:ns3="f52012fd-4b10-4ea1-ac2f-8cc8cd3ddf31" targetNamespace="http://schemas.microsoft.com/office/2006/metadata/properties" ma:root="true" ma:fieldsID="f64a99ced67c8e169f2adc6fabff0608" ns2:_="" ns3:_="">
    <xsd:import namespace="428a53f1-658d-4ee5-a76d-b00116534d7d"/>
    <xsd:import namespace="f52012fd-4b10-4ea1-ac2f-8cc8cd3ddf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8a53f1-658d-4ee5-a76d-b00116534d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2012fd-4b10-4ea1-ac2f-8cc8cd3ddf3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F5AA9F-CD32-456A-BC37-2583C1DA38D3}"/>
</file>

<file path=customXml/itemProps2.xml><?xml version="1.0" encoding="utf-8"?>
<ds:datastoreItem xmlns:ds="http://schemas.openxmlformats.org/officeDocument/2006/customXml" ds:itemID="{6C63998F-8AE3-4F10-A4D5-A317F04AC8B6}"/>
</file>

<file path=customXml/itemProps3.xml><?xml version="1.0" encoding="utf-8"?>
<ds:datastoreItem xmlns:ds="http://schemas.openxmlformats.org/officeDocument/2006/customXml" ds:itemID="{BCE7DCDB-6AF8-4979-B108-59DBC27F3F6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Ubirajara Rodrigues</dc:creator>
  <keywords/>
  <dc:description/>
  <lastModifiedBy>Dulce Maria Bergmann</lastModifiedBy>
  <revision>16</revision>
  <dcterms:created xsi:type="dcterms:W3CDTF">2019-12-27T17:34:00.0000000Z</dcterms:created>
  <dcterms:modified xsi:type="dcterms:W3CDTF">2019-12-28T01:33:53.3110246Z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0x0101008D1906765CA30D4A8B2291F9854AE029</vt:lpwstr>
  </property>
</Properties>
</file>