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E9" w:rsidRDefault="009C379E" w:rsidP="001307B6">
      <w:pPr>
        <w:jc w:val="both"/>
        <w:rPr>
          <w:b/>
          <w:bCs/>
        </w:rPr>
      </w:pPr>
      <w:r w:rsidRPr="001307B6">
        <w:rPr>
          <w:b/>
          <w:bCs/>
        </w:rPr>
        <w:t>IDENTIFICAÇÃO DO MEDICAMENTO</w:t>
      </w:r>
    </w:p>
    <w:p w:rsidR="00B90CC3" w:rsidRPr="001307B6" w:rsidRDefault="00B90CC3" w:rsidP="001307B6">
      <w:pPr>
        <w:jc w:val="both"/>
        <w:rPr>
          <w:b/>
          <w:bCs/>
        </w:rPr>
      </w:pPr>
    </w:p>
    <w:p w:rsidR="00BF5D60" w:rsidRDefault="00BF5D60" w:rsidP="001307B6">
      <w:pPr>
        <w:jc w:val="both"/>
        <w:rPr>
          <w:u w:val="single"/>
        </w:rPr>
      </w:pPr>
      <w:r w:rsidRPr="001307B6">
        <w:rPr>
          <w:u w:val="single"/>
        </w:rPr>
        <w:t>Citar o nome comercial do medicamento.</w:t>
      </w:r>
    </w:p>
    <w:p w:rsidR="00FA77E9" w:rsidRPr="001307B6" w:rsidRDefault="00FA77E9" w:rsidP="001307B6">
      <w:pPr>
        <w:jc w:val="both"/>
        <w:rPr>
          <w:u w:val="single"/>
        </w:rPr>
      </w:pPr>
    </w:p>
    <w:p w:rsidR="009C379E" w:rsidRDefault="009C379E" w:rsidP="001307B6">
      <w:pPr>
        <w:jc w:val="both"/>
        <w:rPr>
          <w:b/>
          <w:bCs/>
        </w:rPr>
      </w:pPr>
      <w:r w:rsidRPr="001307B6">
        <w:rPr>
          <w:b/>
          <w:bCs/>
        </w:rPr>
        <w:t>MEDICAMENTO FITOTERÁPICO</w:t>
      </w:r>
    </w:p>
    <w:p w:rsidR="00FA77E9" w:rsidRPr="001307B6" w:rsidRDefault="00FA77E9" w:rsidP="001307B6">
      <w:pPr>
        <w:jc w:val="both"/>
        <w:rPr>
          <w:b/>
          <w:bCs/>
        </w:rPr>
      </w:pPr>
    </w:p>
    <w:p w:rsidR="009C379E" w:rsidRPr="001307B6" w:rsidRDefault="009C379E" w:rsidP="001307B6">
      <w:pPr>
        <w:tabs>
          <w:tab w:val="left" w:pos="9240"/>
        </w:tabs>
        <w:ind w:right="39"/>
        <w:jc w:val="both"/>
      </w:pPr>
      <w:r w:rsidRPr="001307B6">
        <w:rPr>
          <w:b/>
        </w:rPr>
        <w:t>Nomenclatura botânica oficial</w:t>
      </w:r>
      <w:r w:rsidRPr="001307B6">
        <w:rPr>
          <w:b/>
          <w:i/>
        </w:rPr>
        <w:t>:</w:t>
      </w:r>
      <w:r w:rsidRPr="001307B6">
        <w:t xml:space="preserve"> </w:t>
      </w:r>
      <w:proofErr w:type="spellStart"/>
      <w:r w:rsidRPr="001307B6">
        <w:rPr>
          <w:i/>
        </w:rPr>
        <w:t>Frangula</w:t>
      </w:r>
      <w:proofErr w:type="spellEnd"/>
      <w:r w:rsidRPr="001307B6">
        <w:rPr>
          <w:i/>
        </w:rPr>
        <w:t xml:space="preserve"> </w:t>
      </w:r>
      <w:proofErr w:type="spellStart"/>
      <w:r w:rsidRPr="001307B6">
        <w:rPr>
          <w:i/>
        </w:rPr>
        <w:t>purshiana</w:t>
      </w:r>
      <w:proofErr w:type="spellEnd"/>
      <w:r w:rsidRPr="001307B6">
        <w:t xml:space="preserve"> </w:t>
      </w:r>
      <w:r w:rsidR="00BF5D60" w:rsidRPr="001307B6">
        <w:t>(</w:t>
      </w:r>
      <w:r w:rsidRPr="001307B6">
        <w:t>DC.</w:t>
      </w:r>
      <w:proofErr w:type="gramStart"/>
      <w:r w:rsidR="00BF5D60" w:rsidRPr="001307B6">
        <w:t>)</w:t>
      </w:r>
      <w:proofErr w:type="gramEnd"/>
    </w:p>
    <w:p w:rsidR="009C379E" w:rsidRPr="001307B6" w:rsidRDefault="009C379E" w:rsidP="001307B6">
      <w:pPr>
        <w:tabs>
          <w:tab w:val="left" w:pos="9240"/>
        </w:tabs>
        <w:ind w:right="39"/>
        <w:jc w:val="both"/>
      </w:pPr>
      <w:r w:rsidRPr="001307B6">
        <w:rPr>
          <w:b/>
        </w:rPr>
        <w:t>Nomenclatura popular:</w:t>
      </w:r>
      <w:r w:rsidRPr="001307B6">
        <w:t xml:space="preserve"> </w:t>
      </w:r>
      <w:proofErr w:type="spellStart"/>
      <w:r w:rsidR="00BF5D60" w:rsidRPr="001307B6">
        <w:t>Cáscara</w:t>
      </w:r>
      <w:proofErr w:type="spellEnd"/>
      <w:r w:rsidR="00BF5D60" w:rsidRPr="001307B6">
        <w:t>-</w:t>
      </w:r>
      <w:r w:rsidRPr="001307B6">
        <w:t>sagrada</w:t>
      </w:r>
    </w:p>
    <w:p w:rsidR="009C379E" w:rsidRPr="001307B6" w:rsidRDefault="009C379E" w:rsidP="001307B6">
      <w:pPr>
        <w:tabs>
          <w:tab w:val="left" w:pos="9240"/>
        </w:tabs>
        <w:ind w:right="39"/>
        <w:jc w:val="both"/>
        <w:rPr>
          <w:i/>
        </w:rPr>
      </w:pPr>
      <w:r w:rsidRPr="001307B6">
        <w:rPr>
          <w:b/>
        </w:rPr>
        <w:t xml:space="preserve">Família: </w:t>
      </w:r>
      <w:proofErr w:type="spellStart"/>
      <w:r w:rsidRPr="001307B6">
        <w:t>Rhamnaceae</w:t>
      </w:r>
      <w:proofErr w:type="spellEnd"/>
    </w:p>
    <w:p w:rsidR="009C379E" w:rsidRPr="001307B6" w:rsidRDefault="009C379E" w:rsidP="001307B6">
      <w:pPr>
        <w:tabs>
          <w:tab w:val="left" w:pos="9240"/>
        </w:tabs>
        <w:ind w:right="39"/>
        <w:jc w:val="both"/>
      </w:pPr>
      <w:r w:rsidRPr="001307B6">
        <w:rPr>
          <w:b/>
        </w:rPr>
        <w:t>Parte da planta utilizada</w:t>
      </w:r>
      <w:r w:rsidRPr="001307B6">
        <w:t xml:space="preserve">: Casca </w:t>
      </w:r>
    </w:p>
    <w:p w:rsidR="009C379E" w:rsidRPr="001307B6" w:rsidRDefault="009C379E" w:rsidP="001307B6">
      <w:pPr>
        <w:jc w:val="both"/>
      </w:pPr>
    </w:p>
    <w:p w:rsidR="009C379E" w:rsidRDefault="009C379E" w:rsidP="001307B6">
      <w:pPr>
        <w:jc w:val="both"/>
        <w:rPr>
          <w:b/>
        </w:rPr>
      </w:pPr>
      <w:r w:rsidRPr="001307B6">
        <w:rPr>
          <w:b/>
        </w:rPr>
        <w:t>APRESENTAÇÕES</w:t>
      </w:r>
    </w:p>
    <w:p w:rsidR="00142B05" w:rsidRPr="001307B6" w:rsidRDefault="00142B05" w:rsidP="001307B6">
      <w:pPr>
        <w:jc w:val="both"/>
        <w:rPr>
          <w:b/>
        </w:rPr>
      </w:pPr>
    </w:p>
    <w:p w:rsidR="009C379E" w:rsidRPr="001307B6" w:rsidRDefault="009C379E" w:rsidP="001307B6">
      <w:pPr>
        <w:jc w:val="both"/>
        <w:rPr>
          <w:b/>
          <w:bCs/>
          <w:u w:val="single"/>
        </w:rPr>
      </w:pPr>
      <w:r w:rsidRPr="001307B6">
        <w:rPr>
          <w:u w:val="single"/>
        </w:rPr>
        <w:t>Citar apresentações comercializadas, informando:</w:t>
      </w:r>
    </w:p>
    <w:p w:rsidR="009C379E" w:rsidRPr="001307B6" w:rsidRDefault="009C379E" w:rsidP="001307B6">
      <w:pPr>
        <w:jc w:val="both"/>
        <w:rPr>
          <w:u w:val="single"/>
        </w:rPr>
      </w:pPr>
      <w:r w:rsidRPr="001307B6">
        <w:rPr>
          <w:u w:val="single"/>
        </w:rPr>
        <w:t>- a forma farmacêutica;</w:t>
      </w:r>
    </w:p>
    <w:p w:rsidR="009C379E" w:rsidRPr="001307B6" w:rsidRDefault="009C379E" w:rsidP="001307B6">
      <w:pPr>
        <w:jc w:val="both"/>
        <w:rPr>
          <w:u w:val="single"/>
        </w:rPr>
      </w:pPr>
      <w:r w:rsidRPr="001307B6">
        <w:rPr>
          <w:u w:val="single"/>
        </w:rPr>
        <w:t xml:space="preserve">- a concentração por unidade de medida ou unidade farmacotécnica, conforme o caso; </w:t>
      </w:r>
    </w:p>
    <w:p w:rsidR="009C379E" w:rsidRPr="001307B6" w:rsidRDefault="009C379E" w:rsidP="001307B6">
      <w:pPr>
        <w:jc w:val="both"/>
        <w:rPr>
          <w:u w:val="single"/>
        </w:rPr>
      </w:pPr>
      <w:r w:rsidRPr="001307B6">
        <w:rPr>
          <w:u w:val="single"/>
        </w:rPr>
        <w:t>- a quantidade</w:t>
      </w:r>
      <w:r w:rsidRPr="001307B6" w:rsidDel="001C4B96">
        <w:rPr>
          <w:u w:val="single"/>
        </w:rPr>
        <w:t xml:space="preserve"> </w:t>
      </w:r>
      <w:r w:rsidRPr="001307B6">
        <w:rPr>
          <w:u w:val="single"/>
        </w:rPr>
        <w:t>total de peso, volume líquido ou unidades farmacotécnicas, conforme o caso;</w:t>
      </w:r>
    </w:p>
    <w:p w:rsidR="009C379E" w:rsidRDefault="009C379E" w:rsidP="001307B6">
      <w:pPr>
        <w:jc w:val="both"/>
        <w:rPr>
          <w:u w:val="single"/>
        </w:rPr>
      </w:pPr>
      <w:r w:rsidRPr="001307B6">
        <w:rPr>
          <w:u w:val="single"/>
        </w:rPr>
        <w:t xml:space="preserve">- a quantidade total de acessórios dosadores que acompanha as apresentações, quando aplicável. </w:t>
      </w:r>
      <w:r w:rsidRPr="001307B6" w:rsidDel="009F14DC">
        <w:rPr>
          <w:u w:val="single"/>
        </w:rPr>
        <w:t xml:space="preserve"> </w:t>
      </w:r>
    </w:p>
    <w:p w:rsidR="001307B6" w:rsidRPr="001307B6" w:rsidRDefault="001307B6" w:rsidP="001307B6">
      <w:pPr>
        <w:jc w:val="both"/>
        <w:rPr>
          <w:u w:val="single"/>
        </w:rPr>
      </w:pPr>
    </w:p>
    <w:p w:rsidR="00BF5D60" w:rsidRDefault="001307B6" w:rsidP="001307B6">
      <w:pPr>
        <w:jc w:val="both"/>
        <w:rPr>
          <w:b/>
        </w:rPr>
      </w:pPr>
      <w:r>
        <w:rPr>
          <w:b/>
        </w:rPr>
        <w:t>USO</w:t>
      </w:r>
      <w:r w:rsidR="00BF5D60" w:rsidRPr="001307B6">
        <w:rPr>
          <w:b/>
        </w:rPr>
        <w:t xml:space="preserve"> ORAL</w:t>
      </w:r>
    </w:p>
    <w:p w:rsidR="00B90CC3" w:rsidRPr="001307B6" w:rsidRDefault="00B90CC3" w:rsidP="001307B6">
      <w:pPr>
        <w:jc w:val="both"/>
        <w:rPr>
          <w:b/>
        </w:rPr>
      </w:pPr>
    </w:p>
    <w:p w:rsidR="00BF5D60" w:rsidRPr="001307B6" w:rsidRDefault="00BF5D60" w:rsidP="001307B6">
      <w:pPr>
        <w:jc w:val="both"/>
        <w:rPr>
          <w:b/>
        </w:rPr>
      </w:pPr>
      <w:r w:rsidRPr="001307B6">
        <w:rPr>
          <w:b/>
        </w:rPr>
        <w:t>USO</w:t>
      </w:r>
      <w:r w:rsidRPr="001307B6">
        <w:t xml:space="preserve"> </w:t>
      </w:r>
      <w:r w:rsidRPr="001307B6">
        <w:rPr>
          <w:b/>
        </w:rPr>
        <w:t>ADULTO</w:t>
      </w:r>
      <w:r w:rsidRPr="001307B6">
        <w:t xml:space="preserve">, </w:t>
      </w:r>
      <w:r w:rsidRPr="001307B6">
        <w:rPr>
          <w:b/>
        </w:rPr>
        <w:t>USO</w:t>
      </w:r>
      <w:r w:rsidRPr="001307B6">
        <w:t xml:space="preserve"> </w:t>
      </w:r>
      <w:r w:rsidRPr="001307B6">
        <w:rPr>
          <w:b/>
        </w:rPr>
        <w:t>ADULTO E</w:t>
      </w:r>
      <w:r w:rsidRPr="001307B6">
        <w:t xml:space="preserve"> </w:t>
      </w:r>
      <w:r w:rsidRPr="001307B6">
        <w:rPr>
          <w:b/>
        </w:rPr>
        <w:t xml:space="preserve">PEDIÁTRICO ACIMA DE 12 ANOS </w:t>
      </w:r>
      <w:r w:rsidRPr="00142B05">
        <w:t>ou</w:t>
      </w:r>
      <w:r w:rsidRPr="001307B6">
        <w:rPr>
          <w:b/>
        </w:rPr>
        <w:t xml:space="preserve"> USO</w:t>
      </w:r>
      <w:r w:rsidRPr="001307B6">
        <w:t xml:space="preserve"> </w:t>
      </w:r>
      <w:r w:rsidRPr="001307B6">
        <w:rPr>
          <w:b/>
        </w:rPr>
        <w:t>PEDIÁTRICO ACIMA DE 12 ANOS</w:t>
      </w:r>
      <w:r w:rsidR="00B90CC3">
        <w:t>.</w:t>
      </w:r>
    </w:p>
    <w:p w:rsidR="00BF5D60" w:rsidRPr="001307B6" w:rsidRDefault="00BF5D60" w:rsidP="001307B6">
      <w:pPr>
        <w:jc w:val="both"/>
        <w:rPr>
          <w:b/>
        </w:rPr>
      </w:pPr>
    </w:p>
    <w:p w:rsidR="00306899" w:rsidRDefault="009C379E" w:rsidP="001307B6">
      <w:pPr>
        <w:jc w:val="both"/>
        <w:rPr>
          <w:b/>
        </w:rPr>
      </w:pPr>
      <w:r w:rsidRPr="001307B6">
        <w:rPr>
          <w:b/>
        </w:rPr>
        <w:t>COMPOSIÇÃO</w:t>
      </w:r>
    </w:p>
    <w:p w:rsidR="00B90CC3" w:rsidRPr="001307B6" w:rsidRDefault="00B90CC3" w:rsidP="001307B6">
      <w:pPr>
        <w:jc w:val="both"/>
        <w:rPr>
          <w:b/>
        </w:rPr>
      </w:pPr>
    </w:p>
    <w:p w:rsidR="00306899" w:rsidRPr="001307B6" w:rsidRDefault="00306899" w:rsidP="001307B6">
      <w:pPr>
        <w:jc w:val="both"/>
        <w:rPr>
          <w:b/>
        </w:rPr>
      </w:pPr>
      <w:r w:rsidRPr="001307B6">
        <w:t>Cada (</w:t>
      </w:r>
      <w:r w:rsidRPr="001307B6">
        <w:rPr>
          <w:u w:val="single"/>
        </w:rPr>
        <w:t>forma farmacêutica</w:t>
      </w:r>
      <w:r w:rsidRPr="001307B6">
        <w:t>) contém:</w:t>
      </w:r>
    </w:p>
    <w:p w:rsidR="00306899" w:rsidRPr="001307B6" w:rsidRDefault="00306899" w:rsidP="001307B6">
      <w:pPr>
        <w:autoSpaceDE w:val="0"/>
        <w:autoSpaceDN w:val="0"/>
        <w:adjustRightInd w:val="0"/>
        <w:jc w:val="both"/>
      </w:pPr>
      <w:r w:rsidRPr="001307B6">
        <w:rPr>
          <w:u w:val="single"/>
        </w:rPr>
        <w:t>Derivado vegetal (a empresa deve indicar o derivado vegetal aprovado no dossiê de registro do fitoterápico)</w:t>
      </w:r>
      <w:r w:rsidRPr="001307B6">
        <w:t xml:space="preserve"> XXX de </w:t>
      </w:r>
      <w:proofErr w:type="spellStart"/>
      <w:r w:rsidRPr="001307B6">
        <w:rPr>
          <w:i/>
        </w:rPr>
        <w:t>Frangula</w:t>
      </w:r>
      <w:proofErr w:type="spellEnd"/>
      <w:r w:rsidRPr="001307B6">
        <w:rPr>
          <w:i/>
        </w:rPr>
        <w:t xml:space="preserve"> </w:t>
      </w:r>
      <w:proofErr w:type="spellStart"/>
      <w:r w:rsidRPr="001307B6">
        <w:rPr>
          <w:i/>
        </w:rPr>
        <w:t>purshiana</w:t>
      </w:r>
      <w:proofErr w:type="spellEnd"/>
      <w:r w:rsidRPr="001307B6">
        <w:t xml:space="preserve"> (DC.)</w:t>
      </w:r>
      <w:proofErr w:type="gramStart"/>
      <w:r w:rsidRPr="001307B6">
        <w:t>.......</w:t>
      </w:r>
      <w:proofErr w:type="gramEnd"/>
      <w:r w:rsidRPr="001307B6">
        <w:t xml:space="preserve"> XXX </w:t>
      </w:r>
      <w:proofErr w:type="gramStart"/>
      <w:r w:rsidRPr="001307B6">
        <w:t>mg</w:t>
      </w:r>
      <w:proofErr w:type="gramEnd"/>
      <w:r w:rsidRPr="001307B6">
        <w:t xml:space="preserve"> (padronizado em XXX mg/unidade de medida ou XX% de derivados </w:t>
      </w:r>
      <w:proofErr w:type="spellStart"/>
      <w:r w:rsidRPr="001307B6">
        <w:t>hidroxiantracênicos</w:t>
      </w:r>
      <w:proofErr w:type="spellEnd"/>
      <w:r w:rsidRPr="001307B6">
        <w:t xml:space="preserve"> expressos em </w:t>
      </w:r>
      <w:proofErr w:type="spellStart"/>
      <w:r w:rsidRPr="001307B6">
        <w:t>cascarosídeo</w:t>
      </w:r>
      <w:proofErr w:type="spellEnd"/>
      <w:r w:rsidRPr="001307B6">
        <w:t xml:space="preserve"> A)</w:t>
      </w:r>
    </w:p>
    <w:p w:rsidR="00306899" w:rsidRDefault="00306899" w:rsidP="001307B6">
      <w:pPr>
        <w:autoSpaceDE w:val="0"/>
        <w:autoSpaceDN w:val="0"/>
        <w:adjustRightInd w:val="0"/>
        <w:jc w:val="both"/>
      </w:pPr>
      <w:r w:rsidRPr="001307B6">
        <w:t xml:space="preserve">Equivalente a XX </w:t>
      </w:r>
      <w:proofErr w:type="gramStart"/>
      <w:r w:rsidRPr="001307B6">
        <w:t>mg</w:t>
      </w:r>
      <w:proofErr w:type="gramEnd"/>
      <w:r w:rsidRPr="001307B6">
        <w:t xml:space="preserve"> de </w:t>
      </w:r>
      <w:r w:rsidR="00B90CC3" w:rsidRPr="001307B6">
        <w:t xml:space="preserve">derivados </w:t>
      </w:r>
      <w:proofErr w:type="spellStart"/>
      <w:r w:rsidR="00B90CC3" w:rsidRPr="001307B6">
        <w:t>hidroxiantracênicos</w:t>
      </w:r>
      <w:proofErr w:type="spellEnd"/>
      <w:r w:rsidR="00B90CC3" w:rsidRPr="001307B6">
        <w:t xml:space="preserve"> expressos em </w:t>
      </w:r>
      <w:proofErr w:type="spellStart"/>
      <w:r w:rsidR="00B90CC3" w:rsidRPr="001307B6">
        <w:t>cascarosídeo</w:t>
      </w:r>
      <w:proofErr w:type="spellEnd"/>
      <w:r w:rsidR="00B90CC3" w:rsidRPr="001307B6">
        <w:t xml:space="preserve"> A </w:t>
      </w:r>
      <w:r w:rsidRPr="001307B6">
        <w:t>/unidade de medida ou unidade farmacotécnica do produto terminado.</w:t>
      </w:r>
    </w:p>
    <w:p w:rsidR="00B90CC3" w:rsidRPr="001307B6" w:rsidRDefault="00B90CC3" w:rsidP="001307B6">
      <w:pPr>
        <w:autoSpaceDE w:val="0"/>
        <w:autoSpaceDN w:val="0"/>
        <w:adjustRightInd w:val="0"/>
        <w:jc w:val="both"/>
      </w:pPr>
    </w:p>
    <w:p w:rsidR="00306899" w:rsidRDefault="00306899" w:rsidP="001307B6">
      <w:pPr>
        <w:jc w:val="both"/>
        <w:rPr>
          <w:u w:val="single"/>
        </w:rPr>
      </w:pPr>
      <w:r w:rsidRPr="001307B6">
        <w:rPr>
          <w:u w:val="single"/>
        </w:rPr>
        <w:t>Para os excipientes, descrever a composição qualitativa, conforme DCB.</w:t>
      </w:r>
    </w:p>
    <w:p w:rsidR="00B90CC3" w:rsidRPr="001307B6" w:rsidRDefault="00B90CC3" w:rsidP="001307B6">
      <w:pPr>
        <w:jc w:val="both"/>
        <w:rPr>
          <w:u w:val="single"/>
        </w:rPr>
      </w:pPr>
    </w:p>
    <w:p w:rsidR="00306899" w:rsidRDefault="00306899" w:rsidP="001307B6">
      <w:pPr>
        <w:jc w:val="both"/>
        <w:rPr>
          <w:u w:val="single"/>
        </w:rPr>
      </w:pPr>
      <w:r w:rsidRPr="001307B6">
        <w:rPr>
          <w:u w:val="single"/>
        </w:rPr>
        <w:t>Para formas farmacêuticas líquidas, quando o solvente for alcoólico, mencionar a graduação alcoólica do produto final.</w:t>
      </w:r>
    </w:p>
    <w:p w:rsidR="00B90CC3" w:rsidRPr="001307B6" w:rsidRDefault="00B90CC3" w:rsidP="001307B6">
      <w:pPr>
        <w:jc w:val="both"/>
        <w:rPr>
          <w:u w:val="single"/>
        </w:rPr>
      </w:pPr>
    </w:p>
    <w:p w:rsidR="00306899" w:rsidRPr="001307B6" w:rsidRDefault="00306899" w:rsidP="001307B6">
      <w:pPr>
        <w:jc w:val="both"/>
        <w:rPr>
          <w:u w:val="single"/>
        </w:rPr>
      </w:pPr>
      <w:r w:rsidRPr="001307B6">
        <w:rPr>
          <w:u w:val="single"/>
        </w:rPr>
        <w:t>Para medicamentos com forma farmacêutica líquida e em gotas, informar a equivalência de gotas para cada mililitro (gotas/</w:t>
      </w:r>
      <w:proofErr w:type="spellStart"/>
      <w:r w:rsidRPr="001307B6">
        <w:rPr>
          <w:u w:val="single"/>
        </w:rPr>
        <w:t>mL</w:t>
      </w:r>
      <w:proofErr w:type="spellEnd"/>
      <w:r w:rsidRPr="001307B6">
        <w:rPr>
          <w:u w:val="single"/>
        </w:rPr>
        <w:t>) e massa por gota (</w:t>
      </w:r>
      <w:proofErr w:type="gramStart"/>
      <w:r w:rsidRPr="001307B6">
        <w:rPr>
          <w:u w:val="single"/>
        </w:rPr>
        <w:t>mg</w:t>
      </w:r>
      <w:proofErr w:type="gramEnd"/>
      <w:r w:rsidRPr="001307B6">
        <w:rPr>
          <w:u w:val="single"/>
        </w:rPr>
        <w:t>/gotas) .</w:t>
      </w:r>
    </w:p>
    <w:p w:rsidR="009C379E" w:rsidRPr="001307B6" w:rsidRDefault="009C379E" w:rsidP="001307B6">
      <w:pPr>
        <w:tabs>
          <w:tab w:val="left" w:pos="9240"/>
        </w:tabs>
        <w:ind w:right="39"/>
        <w:jc w:val="both"/>
      </w:pPr>
    </w:p>
    <w:p w:rsidR="009C379E" w:rsidRDefault="009C379E" w:rsidP="001307B6">
      <w:pPr>
        <w:jc w:val="both"/>
        <w:rPr>
          <w:b/>
        </w:rPr>
      </w:pPr>
      <w:r w:rsidRPr="001307B6">
        <w:rPr>
          <w:b/>
        </w:rPr>
        <w:t>INFORMAÇÕES TÉCNICAS AOS PROFISSIONAIS DE SAÚDE</w:t>
      </w:r>
    </w:p>
    <w:p w:rsidR="001307B6" w:rsidRPr="001307B6" w:rsidRDefault="001307B6" w:rsidP="001307B6">
      <w:pPr>
        <w:jc w:val="both"/>
        <w:rPr>
          <w:b/>
        </w:rPr>
      </w:pPr>
    </w:p>
    <w:p w:rsidR="009C379E" w:rsidRDefault="00306899" w:rsidP="001307B6">
      <w:pPr>
        <w:jc w:val="both"/>
        <w:rPr>
          <w:b/>
        </w:rPr>
      </w:pPr>
      <w:r w:rsidRPr="001307B6">
        <w:rPr>
          <w:b/>
        </w:rPr>
        <w:t>1.</w:t>
      </w:r>
      <w:r w:rsidR="00B90CC3">
        <w:rPr>
          <w:b/>
        </w:rPr>
        <w:t xml:space="preserve">  </w:t>
      </w:r>
      <w:r w:rsidR="009C379E" w:rsidRPr="001307B6">
        <w:rPr>
          <w:b/>
        </w:rPr>
        <w:t>INDICAÇÕES</w:t>
      </w:r>
    </w:p>
    <w:p w:rsidR="00B90CC3" w:rsidRPr="001307B6" w:rsidRDefault="00B90CC3" w:rsidP="001307B6">
      <w:pPr>
        <w:jc w:val="both"/>
        <w:rPr>
          <w:b/>
        </w:rPr>
      </w:pPr>
    </w:p>
    <w:p w:rsidR="009C379E" w:rsidRDefault="00B90CC3" w:rsidP="001307B6">
      <w:pPr>
        <w:jc w:val="both"/>
      </w:pPr>
      <w:r w:rsidRPr="00342F6B">
        <w:t xml:space="preserve">Este medicamento é indicado para </w:t>
      </w:r>
      <w:r>
        <w:t>c</w:t>
      </w:r>
      <w:r w:rsidR="009C379E" w:rsidRPr="001307B6">
        <w:t>onstipação ocasional</w:t>
      </w:r>
      <w:r w:rsidR="00306899" w:rsidRPr="001307B6">
        <w:t>.</w:t>
      </w:r>
    </w:p>
    <w:p w:rsidR="00B90CC3" w:rsidRPr="001307B6" w:rsidRDefault="00B90CC3" w:rsidP="001307B6">
      <w:pPr>
        <w:jc w:val="both"/>
      </w:pPr>
    </w:p>
    <w:p w:rsidR="009C379E" w:rsidRDefault="00306899" w:rsidP="001307B6">
      <w:pPr>
        <w:jc w:val="both"/>
      </w:pPr>
      <w:r w:rsidRPr="001307B6">
        <w:rPr>
          <w:b/>
        </w:rPr>
        <w:lastRenderedPageBreak/>
        <w:t>2.</w:t>
      </w:r>
      <w:r w:rsidR="00C0776E">
        <w:rPr>
          <w:b/>
        </w:rPr>
        <w:t xml:space="preserve"> </w:t>
      </w:r>
      <w:r w:rsidR="009C379E" w:rsidRPr="001307B6">
        <w:rPr>
          <w:b/>
        </w:rPr>
        <w:t>RESULTADOS DE EFICÁCIA</w:t>
      </w:r>
      <w:r w:rsidR="009C379E" w:rsidRPr="001307B6">
        <w:t>.</w:t>
      </w:r>
    </w:p>
    <w:p w:rsidR="00B90CC3" w:rsidRPr="001307B6" w:rsidRDefault="00B90CC3" w:rsidP="001307B6">
      <w:pPr>
        <w:jc w:val="both"/>
      </w:pPr>
    </w:p>
    <w:p w:rsidR="009C379E" w:rsidRDefault="009C379E" w:rsidP="001307B6">
      <w:pPr>
        <w:jc w:val="both"/>
      </w:pPr>
      <w:r w:rsidRPr="001307B6">
        <w:t>A efetividade e aceitabilidade de três regimes de esvaziamento</w:t>
      </w:r>
      <w:r w:rsidRPr="001307B6">
        <w:rPr>
          <w:b/>
        </w:rPr>
        <w:t xml:space="preserve"> </w:t>
      </w:r>
      <w:r w:rsidRPr="001307B6">
        <w:t xml:space="preserve">intestinal foram determinadas em 271 pacientes de colonoscopia. Uma preparação de </w:t>
      </w:r>
      <w:r w:rsidR="00306899" w:rsidRPr="001307B6">
        <w:rPr>
          <w:i/>
        </w:rPr>
        <w:t>F</w:t>
      </w:r>
      <w:r w:rsidR="00B90CC3">
        <w:rPr>
          <w:i/>
        </w:rPr>
        <w:t>.</w:t>
      </w:r>
      <w:r w:rsidR="00306899" w:rsidRPr="001307B6">
        <w:rPr>
          <w:i/>
        </w:rPr>
        <w:t xml:space="preserve"> </w:t>
      </w:r>
      <w:proofErr w:type="spellStart"/>
      <w:r w:rsidR="00306899" w:rsidRPr="001307B6">
        <w:rPr>
          <w:i/>
        </w:rPr>
        <w:t>purshiana</w:t>
      </w:r>
      <w:proofErr w:type="spellEnd"/>
      <w:r w:rsidR="00306899" w:rsidRPr="001307B6">
        <w:t xml:space="preserve"> </w:t>
      </w:r>
      <w:r w:rsidRPr="001307B6">
        <w:t xml:space="preserve">combinada com </w:t>
      </w:r>
      <w:proofErr w:type="spellStart"/>
      <w:r w:rsidRPr="001307B6">
        <w:t>enema</w:t>
      </w:r>
      <w:proofErr w:type="spellEnd"/>
      <w:r w:rsidRPr="001307B6">
        <w:t xml:space="preserve">, uma solução de eletrólitos de </w:t>
      </w:r>
      <w:proofErr w:type="spellStart"/>
      <w:r w:rsidRPr="001307B6">
        <w:t>polietilenoglicol</w:t>
      </w:r>
      <w:proofErr w:type="spellEnd"/>
      <w:r w:rsidRPr="001307B6">
        <w:t xml:space="preserve"> ou um regime de </w:t>
      </w:r>
      <w:proofErr w:type="spellStart"/>
      <w:r w:rsidRPr="001307B6">
        <w:t>Cáscara</w:t>
      </w:r>
      <w:proofErr w:type="spellEnd"/>
      <w:r w:rsidR="00306899" w:rsidRPr="001307B6">
        <w:t>-</w:t>
      </w:r>
      <w:r w:rsidRPr="001307B6">
        <w:t>sagrada foram administrados. Não houve diferenças clínicas importantes entre as três preparações (</w:t>
      </w:r>
      <w:r w:rsidRPr="00B90CC3">
        <w:t>B</w:t>
      </w:r>
      <w:r w:rsidR="00306899" w:rsidRPr="00B90CC3">
        <w:t>ORKJE</w:t>
      </w:r>
      <w:r w:rsidRPr="00B90CC3">
        <w:t>, 1991</w:t>
      </w:r>
      <w:r w:rsidRPr="001307B6">
        <w:t xml:space="preserve">). </w:t>
      </w:r>
    </w:p>
    <w:p w:rsidR="00B90CC3" w:rsidRPr="001307B6" w:rsidRDefault="00B90CC3" w:rsidP="001307B6">
      <w:pPr>
        <w:jc w:val="both"/>
      </w:pPr>
    </w:p>
    <w:p w:rsidR="009C379E" w:rsidRDefault="00306899" w:rsidP="001307B6">
      <w:pPr>
        <w:jc w:val="both"/>
        <w:rPr>
          <w:b/>
        </w:rPr>
      </w:pPr>
      <w:r w:rsidRPr="001307B6">
        <w:rPr>
          <w:b/>
        </w:rPr>
        <w:t>3.</w:t>
      </w:r>
      <w:r w:rsidR="00C0776E">
        <w:rPr>
          <w:b/>
        </w:rPr>
        <w:t xml:space="preserve"> </w:t>
      </w:r>
      <w:r w:rsidR="009C379E" w:rsidRPr="001307B6">
        <w:rPr>
          <w:b/>
        </w:rPr>
        <w:t>CARACTERÍSTICAS FARMACOLÓGICAS</w:t>
      </w:r>
    </w:p>
    <w:p w:rsidR="00C0776E" w:rsidRPr="001307B6" w:rsidRDefault="00C0776E" w:rsidP="001307B6">
      <w:pPr>
        <w:jc w:val="both"/>
        <w:rPr>
          <w:b/>
        </w:rPr>
      </w:pPr>
    </w:p>
    <w:p w:rsidR="009C379E" w:rsidRPr="001307B6" w:rsidRDefault="009C379E" w:rsidP="001307B6">
      <w:pPr>
        <w:jc w:val="both"/>
      </w:pPr>
      <w:r w:rsidRPr="001307B6">
        <w:t xml:space="preserve">O extrato de </w:t>
      </w:r>
      <w:r w:rsidRPr="001307B6">
        <w:rPr>
          <w:i/>
        </w:rPr>
        <w:t>F</w:t>
      </w:r>
      <w:r w:rsidR="00C0776E">
        <w:rPr>
          <w:i/>
        </w:rPr>
        <w:t>.</w:t>
      </w:r>
      <w:r w:rsidRPr="001307B6">
        <w:rPr>
          <w:i/>
        </w:rPr>
        <w:t xml:space="preserve"> </w:t>
      </w:r>
      <w:proofErr w:type="spellStart"/>
      <w:r w:rsidRPr="001307B6">
        <w:rPr>
          <w:i/>
        </w:rPr>
        <w:t>purshiana</w:t>
      </w:r>
      <w:proofErr w:type="spellEnd"/>
      <w:r w:rsidRPr="001307B6">
        <w:t xml:space="preserve"> é constituído por compostos </w:t>
      </w:r>
      <w:proofErr w:type="spellStart"/>
      <w:r w:rsidRPr="001307B6">
        <w:t>antraquinônicos</w:t>
      </w:r>
      <w:proofErr w:type="spellEnd"/>
      <w:r w:rsidRPr="001307B6">
        <w:t xml:space="preserve"> (6</w:t>
      </w:r>
      <w:r w:rsidR="00306899" w:rsidRPr="001307B6">
        <w:t xml:space="preserve">% a </w:t>
      </w:r>
      <w:r w:rsidRPr="001307B6">
        <w:t>9%), presen</w:t>
      </w:r>
      <w:r w:rsidR="00306899" w:rsidRPr="001307B6">
        <w:t>tes principalmente como C-</w:t>
      </w:r>
      <w:proofErr w:type="spellStart"/>
      <w:r w:rsidR="00306899" w:rsidRPr="001307B6">
        <w:t>heterosí</w:t>
      </w:r>
      <w:r w:rsidRPr="001307B6">
        <w:t>deos</w:t>
      </w:r>
      <w:proofErr w:type="spellEnd"/>
      <w:r w:rsidRPr="001307B6">
        <w:t xml:space="preserve"> (</w:t>
      </w:r>
      <w:proofErr w:type="spellStart"/>
      <w:r w:rsidRPr="001307B6">
        <w:t>cascarosídeos</w:t>
      </w:r>
      <w:proofErr w:type="spellEnd"/>
      <w:r w:rsidRPr="001307B6">
        <w:t xml:space="preserve"> A e B), compostos livres (ácido </w:t>
      </w:r>
      <w:proofErr w:type="spellStart"/>
      <w:r w:rsidRPr="001307B6">
        <w:t>crisofânico</w:t>
      </w:r>
      <w:proofErr w:type="spellEnd"/>
      <w:r w:rsidRPr="001307B6">
        <w:t xml:space="preserve">, </w:t>
      </w:r>
      <w:proofErr w:type="spellStart"/>
      <w:r w:rsidRPr="001307B6">
        <w:t>emodol</w:t>
      </w:r>
      <w:proofErr w:type="spellEnd"/>
      <w:r w:rsidRPr="001307B6">
        <w:t xml:space="preserve"> e </w:t>
      </w:r>
      <w:proofErr w:type="spellStart"/>
      <w:r w:rsidRPr="001307B6">
        <w:t>aloe</w:t>
      </w:r>
      <w:proofErr w:type="spellEnd"/>
      <w:r w:rsidRPr="001307B6">
        <w:t xml:space="preserve"> </w:t>
      </w:r>
      <w:proofErr w:type="spellStart"/>
      <w:r w:rsidRPr="001307B6">
        <w:t>emodina-antrona</w:t>
      </w:r>
      <w:proofErr w:type="spellEnd"/>
      <w:r w:rsidRPr="001307B6">
        <w:t>) e O-</w:t>
      </w:r>
      <w:proofErr w:type="spellStart"/>
      <w:r w:rsidRPr="001307B6">
        <w:t>heter</w:t>
      </w:r>
      <w:r w:rsidR="001F3196" w:rsidRPr="001307B6">
        <w:t>o</w:t>
      </w:r>
      <w:r w:rsidRPr="001307B6">
        <w:t>s</w:t>
      </w:r>
      <w:r w:rsidR="001F3196" w:rsidRPr="001307B6">
        <w:t>í</w:t>
      </w:r>
      <w:r w:rsidRPr="001307B6">
        <w:t>deos</w:t>
      </w:r>
      <w:proofErr w:type="spellEnd"/>
      <w:r w:rsidRPr="001307B6">
        <w:t xml:space="preserve"> (derivados da </w:t>
      </w:r>
      <w:proofErr w:type="spellStart"/>
      <w:r w:rsidRPr="001307B6">
        <w:t>emodina</w:t>
      </w:r>
      <w:proofErr w:type="spellEnd"/>
      <w:r w:rsidRPr="001307B6">
        <w:t xml:space="preserve">: </w:t>
      </w:r>
      <w:proofErr w:type="spellStart"/>
      <w:r w:rsidRPr="001307B6">
        <w:t>emodina-antrona</w:t>
      </w:r>
      <w:proofErr w:type="spellEnd"/>
      <w:r w:rsidRPr="001307B6">
        <w:t xml:space="preserve">). Outros compostos também podem estar presentes como taninos, sais minerais, ácidos graxos (linoleico, </w:t>
      </w:r>
      <w:proofErr w:type="spellStart"/>
      <w:r w:rsidRPr="001307B6">
        <w:t>mirístico</w:t>
      </w:r>
      <w:proofErr w:type="spellEnd"/>
      <w:r w:rsidRPr="001307B6">
        <w:t xml:space="preserve"> e </w:t>
      </w:r>
      <w:proofErr w:type="spellStart"/>
      <w:r w:rsidRPr="001307B6">
        <w:t>siríngico</w:t>
      </w:r>
      <w:proofErr w:type="spellEnd"/>
      <w:r w:rsidRPr="001307B6">
        <w:t>), resinas, ácido málico, dentre outros. (</w:t>
      </w:r>
      <w:r w:rsidR="001F3196" w:rsidRPr="001307B6">
        <w:rPr>
          <w:u w:val="single"/>
        </w:rPr>
        <w:t>ALONSO, 1998</w:t>
      </w:r>
      <w:r w:rsidRPr="001307B6">
        <w:t>).</w:t>
      </w:r>
    </w:p>
    <w:p w:rsidR="009C379E" w:rsidRPr="001307B6" w:rsidRDefault="009C379E" w:rsidP="001307B6">
      <w:pPr>
        <w:jc w:val="both"/>
      </w:pPr>
      <w:r w:rsidRPr="001307B6">
        <w:t>O seu efeito laxante ocorre devido principalmente ao</w:t>
      </w:r>
      <w:r w:rsidR="001F3196" w:rsidRPr="001307B6">
        <w:t>s</w:t>
      </w:r>
      <w:r w:rsidRPr="001307B6">
        <w:t xml:space="preserve"> glicosídeos </w:t>
      </w:r>
      <w:proofErr w:type="spellStart"/>
      <w:r w:rsidRPr="001307B6">
        <w:t>antraquinônicos</w:t>
      </w:r>
      <w:proofErr w:type="spellEnd"/>
      <w:r w:rsidRPr="001307B6">
        <w:t xml:space="preserve"> e </w:t>
      </w:r>
      <w:proofErr w:type="spellStart"/>
      <w:r w:rsidRPr="001307B6">
        <w:t>cascarosídeos</w:t>
      </w:r>
      <w:proofErr w:type="spellEnd"/>
      <w:r w:rsidRPr="001307B6">
        <w:t xml:space="preserve"> A-D. Após a administração oral da casca de </w:t>
      </w:r>
      <w:r w:rsidRPr="001307B6">
        <w:rPr>
          <w:i/>
        </w:rPr>
        <w:t>F</w:t>
      </w:r>
      <w:r w:rsidR="00C0776E">
        <w:rPr>
          <w:i/>
        </w:rPr>
        <w:t>.</w:t>
      </w:r>
      <w:r w:rsidRPr="001307B6">
        <w:rPr>
          <w:i/>
        </w:rPr>
        <w:t xml:space="preserve"> </w:t>
      </w:r>
      <w:proofErr w:type="spellStart"/>
      <w:r w:rsidRPr="001307B6">
        <w:rPr>
          <w:i/>
        </w:rPr>
        <w:t>purshiana</w:t>
      </w:r>
      <w:proofErr w:type="spellEnd"/>
      <w:r w:rsidRPr="001307B6">
        <w:rPr>
          <w:i/>
        </w:rPr>
        <w:t xml:space="preserve">, </w:t>
      </w:r>
      <w:r w:rsidRPr="001307B6">
        <w:t xml:space="preserve">os glicosídeos </w:t>
      </w:r>
      <w:proofErr w:type="spellStart"/>
      <w:r w:rsidRPr="001307B6">
        <w:t>antraquinônicos</w:t>
      </w:r>
      <w:proofErr w:type="spellEnd"/>
      <w:r w:rsidRPr="001307B6">
        <w:t xml:space="preserve"> não são absorvidos no intestino delgado, mas são hidrolisados no cólon pelas bactérias intestinais, formando os metabólitos ativos. Esses metabólitos são parcialmente absorvidos no cólon e agem como estimulantes e irritantes do trato gastrointestinal. </w:t>
      </w:r>
    </w:p>
    <w:p w:rsidR="009C379E" w:rsidRPr="001307B6" w:rsidRDefault="001F3196" w:rsidP="001307B6">
      <w:pPr>
        <w:jc w:val="both"/>
      </w:pPr>
      <w:r w:rsidRPr="001307B6">
        <w:t>De início</w:t>
      </w:r>
      <w:r w:rsidR="009C379E" w:rsidRPr="001307B6">
        <w:t xml:space="preserve">, ocorre um estímulo da motilidade do cólon, resultando </w:t>
      </w:r>
      <w:r w:rsidR="008D6FDB">
        <w:t xml:space="preserve">em </w:t>
      </w:r>
      <w:r w:rsidR="009C379E" w:rsidRPr="001307B6">
        <w:t>um aumento da propulsão e aceleração do trânsito fecal pelo cólon</w:t>
      </w:r>
      <w:r w:rsidRPr="001307B6">
        <w:t>,</w:t>
      </w:r>
      <w:r w:rsidR="009C379E" w:rsidRPr="001307B6">
        <w:t xml:space="preserve"> o que reduz a absorção de fluidos do bolo fecal. Em seguida, ocorre um aumento na permeabilidade </w:t>
      </w:r>
      <w:proofErr w:type="spellStart"/>
      <w:r w:rsidR="009C379E" w:rsidRPr="001307B6">
        <w:t>paracelular</w:t>
      </w:r>
      <w:proofErr w:type="spellEnd"/>
      <w:r w:rsidR="009C379E" w:rsidRPr="001307B6">
        <w:t xml:space="preserve"> através da mucosa do cólon, provavelmente devido </w:t>
      </w:r>
      <w:r w:rsidR="007E4B07" w:rsidRPr="001307B6">
        <w:t xml:space="preserve">à </w:t>
      </w:r>
      <w:r w:rsidR="009C379E" w:rsidRPr="001307B6">
        <w:t xml:space="preserve">inibição dos canais de </w:t>
      </w:r>
      <w:r w:rsidR="007E4B07" w:rsidRPr="001307B6">
        <w:t>cloro</w:t>
      </w:r>
      <w:r w:rsidR="009C379E" w:rsidRPr="001307B6">
        <w:t xml:space="preserve">. Esse aumento da permeabilidade resulta no aumento da água no cólon.  </w:t>
      </w:r>
    </w:p>
    <w:p w:rsidR="009C379E" w:rsidRDefault="009C379E" w:rsidP="001307B6">
      <w:pPr>
        <w:jc w:val="both"/>
      </w:pPr>
      <w:r w:rsidRPr="001307B6">
        <w:t>O tempo estimado para início da ação deste medicamento é de 6</w:t>
      </w:r>
      <w:r w:rsidR="008D6FDB">
        <w:t xml:space="preserve"> </w:t>
      </w:r>
      <w:r w:rsidR="007E4B07" w:rsidRPr="001307B6">
        <w:t xml:space="preserve">a </w:t>
      </w:r>
      <w:r w:rsidRPr="001307B6">
        <w:t>8 horas após a sua administração (</w:t>
      </w:r>
      <w:r w:rsidRPr="001307B6">
        <w:rPr>
          <w:u w:val="single"/>
        </w:rPr>
        <w:t>WHO, 1999</w:t>
      </w:r>
      <w:r w:rsidRPr="001307B6">
        <w:t xml:space="preserve">). Os glicosídeos </w:t>
      </w:r>
      <w:proofErr w:type="spellStart"/>
      <w:r w:rsidRPr="001307B6">
        <w:t>hidroxiantracênicos</w:t>
      </w:r>
      <w:proofErr w:type="spellEnd"/>
      <w:r w:rsidRPr="001307B6">
        <w:t xml:space="preserve"> são excretados predominantemente nas fezes, mas também são excretados na urina, produzindo uma coloração alaranjada. </w:t>
      </w:r>
      <w:proofErr w:type="spellStart"/>
      <w:r w:rsidRPr="001307B6">
        <w:t>Antronas</w:t>
      </w:r>
      <w:proofErr w:type="spellEnd"/>
      <w:r w:rsidRPr="001307B6">
        <w:t xml:space="preserve"> e </w:t>
      </w:r>
      <w:proofErr w:type="spellStart"/>
      <w:r w:rsidRPr="001307B6">
        <w:t>antranóis</w:t>
      </w:r>
      <w:proofErr w:type="spellEnd"/>
      <w:r w:rsidRPr="001307B6">
        <w:t xml:space="preserve"> também passam para o leite materno.</w:t>
      </w:r>
    </w:p>
    <w:p w:rsidR="008D6FDB" w:rsidRPr="001307B6" w:rsidRDefault="008D6FDB" w:rsidP="001307B6">
      <w:pPr>
        <w:jc w:val="both"/>
      </w:pPr>
    </w:p>
    <w:p w:rsidR="009C379E" w:rsidRDefault="007E4B07" w:rsidP="001307B6">
      <w:pPr>
        <w:jc w:val="both"/>
        <w:rPr>
          <w:b/>
          <w:bCs/>
        </w:rPr>
      </w:pPr>
      <w:r w:rsidRPr="001307B6">
        <w:rPr>
          <w:b/>
          <w:bCs/>
        </w:rPr>
        <w:t>4. CONTRA</w:t>
      </w:r>
      <w:r w:rsidR="009C379E" w:rsidRPr="001307B6">
        <w:rPr>
          <w:b/>
          <w:bCs/>
        </w:rPr>
        <w:t>INDICAÇÕES</w:t>
      </w:r>
    </w:p>
    <w:p w:rsidR="008D6FDB" w:rsidRDefault="008D6FDB" w:rsidP="001307B6">
      <w:pPr>
        <w:jc w:val="both"/>
        <w:rPr>
          <w:b/>
          <w:bCs/>
        </w:rPr>
      </w:pPr>
    </w:p>
    <w:p w:rsidR="00142B05" w:rsidRDefault="00142B05" w:rsidP="001307B6">
      <w:pPr>
        <w:jc w:val="both"/>
        <w:rPr>
          <w:b/>
        </w:rPr>
      </w:pPr>
      <w:r w:rsidRPr="00342F6B">
        <w:rPr>
          <w:b/>
        </w:rPr>
        <w:t>Este medicamento é contraindicado para menores de 12 anos</w:t>
      </w:r>
      <w:r>
        <w:rPr>
          <w:b/>
        </w:rPr>
        <w:t>.</w:t>
      </w:r>
      <w:r w:rsidRPr="00342F6B">
        <w:rPr>
          <w:b/>
        </w:rPr>
        <w:t xml:space="preserve"> (</w:t>
      </w:r>
      <w:r w:rsidRPr="00BF6174">
        <w:rPr>
          <w:u w:val="single"/>
        </w:rPr>
        <w:t>ALONSO, 1998</w:t>
      </w:r>
      <w:r w:rsidRPr="00342F6B">
        <w:rPr>
          <w:b/>
        </w:rPr>
        <w:t>)</w:t>
      </w:r>
    </w:p>
    <w:p w:rsidR="00142B05" w:rsidRPr="00142B05" w:rsidRDefault="00142B05" w:rsidP="001307B6">
      <w:pPr>
        <w:jc w:val="both"/>
        <w:rPr>
          <w:b/>
        </w:rPr>
      </w:pPr>
    </w:p>
    <w:p w:rsidR="009C379E" w:rsidRDefault="009C379E" w:rsidP="001307B6">
      <w:pPr>
        <w:ind w:right="-82"/>
        <w:jc w:val="both"/>
        <w:rPr>
          <w:color w:val="000000"/>
        </w:rPr>
      </w:pPr>
      <w:r w:rsidRPr="001307B6">
        <w:rPr>
          <w:color w:val="000000"/>
        </w:rPr>
        <w:t xml:space="preserve">Pacientes com histórico de hipersensibilidade e alergia a qualquer um dos componentes da fórmula não devem fazer uso do produto. </w:t>
      </w:r>
    </w:p>
    <w:p w:rsidR="009C379E" w:rsidRPr="001307B6" w:rsidRDefault="009B48A2" w:rsidP="001307B6">
      <w:pPr>
        <w:jc w:val="both"/>
      </w:pPr>
      <w:r w:rsidRPr="001307B6">
        <w:t>Além de ser contra</w:t>
      </w:r>
      <w:r w:rsidR="009C379E" w:rsidRPr="001307B6">
        <w:t>indicado nos casos de constipação crônica, abdômen agudo, dor abdominal, obstrução intestinal (</w:t>
      </w:r>
      <w:r w:rsidR="00834271" w:rsidRPr="00E87756">
        <w:rPr>
          <w:u w:val="single"/>
        </w:rPr>
        <w:t>MASSON, 1998; PDR, 2000</w:t>
      </w:r>
      <w:r w:rsidR="009C379E" w:rsidRPr="001307B6">
        <w:t xml:space="preserve">), processos ulcerosos do trato digestivo, doenças inflamatórias intestinais agudas (colites, Doença de </w:t>
      </w:r>
      <w:proofErr w:type="spellStart"/>
      <w:r w:rsidRPr="001307B6">
        <w:t>Crohn</w:t>
      </w:r>
      <w:proofErr w:type="spellEnd"/>
      <w:r w:rsidR="009C379E" w:rsidRPr="001307B6">
        <w:t xml:space="preserve">), esofagite por refluxo, transtornos hidroeletrolíticos, íleo paralítico, cólon irritável, </w:t>
      </w:r>
      <w:proofErr w:type="spellStart"/>
      <w:r w:rsidR="009C379E" w:rsidRPr="001307B6">
        <w:t>diverticulite</w:t>
      </w:r>
      <w:proofErr w:type="spellEnd"/>
      <w:r w:rsidR="009C379E" w:rsidRPr="001307B6">
        <w:t xml:space="preserve">, doença </w:t>
      </w:r>
      <w:proofErr w:type="spellStart"/>
      <w:r w:rsidR="009C379E" w:rsidRPr="001307B6">
        <w:t>diverticular</w:t>
      </w:r>
      <w:proofErr w:type="spellEnd"/>
      <w:r w:rsidRPr="001307B6">
        <w:t>,</w:t>
      </w:r>
      <w:r w:rsidR="00834271">
        <w:t xml:space="preserve"> </w:t>
      </w:r>
      <w:r w:rsidR="009C379E" w:rsidRPr="001307B6">
        <w:t xml:space="preserve">apendicite </w:t>
      </w:r>
      <w:r w:rsidRPr="001307B6">
        <w:t xml:space="preserve">e nefrites </w:t>
      </w:r>
      <w:r w:rsidR="009C379E" w:rsidRPr="001307B6">
        <w:t>(</w:t>
      </w:r>
      <w:r w:rsidR="00834271" w:rsidRPr="00E87756">
        <w:rPr>
          <w:u w:val="single"/>
        </w:rPr>
        <w:t xml:space="preserve">ALONSO, 1998; BLUMENTHAL </w:t>
      </w:r>
      <w:proofErr w:type="gramStart"/>
      <w:r w:rsidR="00834271" w:rsidRPr="00E87756">
        <w:rPr>
          <w:i/>
          <w:u w:val="single"/>
        </w:rPr>
        <w:t>et</w:t>
      </w:r>
      <w:proofErr w:type="gramEnd"/>
      <w:r w:rsidR="00834271" w:rsidRPr="00E87756">
        <w:rPr>
          <w:i/>
          <w:u w:val="single"/>
        </w:rPr>
        <w:t xml:space="preserve"> al</w:t>
      </w:r>
      <w:r w:rsidR="00834271" w:rsidRPr="00E87756">
        <w:rPr>
          <w:u w:val="single"/>
        </w:rPr>
        <w:t>., 2000; PDR, 2000</w:t>
      </w:r>
      <w:r w:rsidR="009C379E" w:rsidRPr="001307B6">
        <w:t>).</w:t>
      </w:r>
    </w:p>
    <w:p w:rsidR="009C379E" w:rsidRPr="001307B6" w:rsidRDefault="009C379E" w:rsidP="001307B6">
      <w:pPr>
        <w:jc w:val="both"/>
      </w:pPr>
      <w:r w:rsidRPr="001307B6">
        <w:t xml:space="preserve">Não pode ser </w:t>
      </w:r>
      <w:proofErr w:type="gramStart"/>
      <w:r w:rsidRPr="001307B6">
        <w:t>utilizado nos estados inflamatórios uterinos, menstruação</w:t>
      </w:r>
      <w:proofErr w:type="gramEnd"/>
      <w:r w:rsidRPr="001307B6">
        <w:t>, cistites e</w:t>
      </w:r>
      <w:r w:rsidR="009B48A2" w:rsidRPr="001307B6">
        <w:t>,</w:t>
      </w:r>
      <w:r w:rsidRPr="001307B6">
        <w:t xml:space="preserve"> quando houver</w:t>
      </w:r>
      <w:r w:rsidR="009B48A2" w:rsidRPr="001307B6">
        <w:t>,</w:t>
      </w:r>
      <w:r w:rsidRPr="001307B6">
        <w:t xml:space="preserve"> </w:t>
      </w:r>
      <w:proofErr w:type="spellStart"/>
      <w:r w:rsidRPr="001307B6">
        <w:t>hemorróida</w:t>
      </w:r>
      <w:proofErr w:type="spellEnd"/>
      <w:r w:rsidRPr="001307B6">
        <w:t xml:space="preserve"> (</w:t>
      </w:r>
      <w:r w:rsidR="00834271" w:rsidRPr="00BF6174">
        <w:rPr>
          <w:u w:val="single"/>
        </w:rPr>
        <w:t>MASSON, 1998</w:t>
      </w:r>
      <w:r w:rsidRPr="001307B6">
        <w:t>).</w:t>
      </w:r>
    </w:p>
    <w:p w:rsidR="00DC7EED" w:rsidRDefault="00DC7EED" w:rsidP="00DC7EED">
      <w:pPr>
        <w:jc w:val="both"/>
      </w:pPr>
      <w:r w:rsidRPr="00342F6B">
        <w:t>O seu uso é contraindicado nos casos de insuficiências hepática, renal e cardíaca.</w:t>
      </w:r>
    </w:p>
    <w:p w:rsidR="00DC7EED" w:rsidRPr="00342F6B" w:rsidRDefault="00DC7EED" w:rsidP="00DC7EED">
      <w:pPr>
        <w:jc w:val="both"/>
      </w:pPr>
    </w:p>
    <w:p w:rsidR="00DC7EED" w:rsidRPr="00342F6B" w:rsidRDefault="00DC7EED" w:rsidP="00DC7EED">
      <w:pPr>
        <w:jc w:val="both"/>
      </w:pPr>
    </w:p>
    <w:p w:rsidR="009C379E" w:rsidRDefault="009C379E" w:rsidP="001307B6">
      <w:pPr>
        <w:jc w:val="both"/>
        <w:rPr>
          <w:b/>
        </w:rPr>
      </w:pPr>
      <w:r w:rsidRPr="001307B6">
        <w:rPr>
          <w:b/>
          <w:bCs/>
        </w:rPr>
        <w:t xml:space="preserve">5. </w:t>
      </w:r>
      <w:r w:rsidRPr="001307B6">
        <w:rPr>
          <w:b/>
        </w:rPr>
        <w:t>ADVERTÊNCIAS E PRECAUÇÕES</w:t>
      </w:r>
    </w:p>
    <w:p w:rsidR="00821FB3" w:rsidRPr="001307B6" w:rsidRDefault="00821FB3" w:rsidP="001307B6">
      <w:pPr>
        <w:jc w:val="both"/>
        <w:rPr>
          <w:b/>
        </w:rPr>
      </w:pPr>
    </w:p>
    <w:p w:rsidR="009C379E" w:rsidRPr="001307B6" w:rsidRDefault="009C379E" w:rsidP="001307B6">
      <w:pPr>
        <w:jc w:val="both"/>
      </w:pPr>
      <w:r w:rsidRPr="001307B6">
        <w:t xml:space="preserve">Este medicamento só deve ser utilizado se nenhum efeito tiver sido </w:t>
      </w:r>
      <w:proofErr w:type="gramStart"/>
      <w:r w:rsidRPr="001307B6">
        <w:t>observado por meio de mudança de dieta e laxantes formadores de massa</w:t>
      </w:r>
      <w:proofErr w:type="gramEnd"/>
      <w:r w:rsidRPr="001307B6">
        <w:t xml:space="preserve"> (fibras).</w:t>
      </w:r>
    </w:p>
    <w:p w:rsidR="009C379E" w:rsidRPr="001307B6" w:rsidRDefault="009C379E" w:rsidP="001307B6">
      <w:pPr>
        <w:jc w:val="both"/>
      </w:pPr>
      <w:r w:rsidRPr="001307B6">
        <w:t>O uso de laxantes por tempo maior que o recomendado pode causar lentidão intestinal, espasmos, cólicas, atonia e pode constituir-se um fator de risco de câncer intestinal. (</w:t>
      </w:r>
      <w:r w:rsidR="00821FB3" w:rsidRPr="00BF6174">
        <w:rPr>
          <w:u w:val="single"/>
        </w:rPr>
        <w:t>WESTENDORF, 1988</w:t>
      </w:r>
      <w:r w:rsidR="00821FB3">
        <w:rPr>
          <w:u w:val="single"/>
        </w:rPr>
        <w:t xml:space="preserve">; </w:t>
      </w:r>
      <w:r w:rsidR="00821FB3" w:rsidRPr="00BF6174">
        <w:rPr>
          <w:u w:val="single"/>
        </w:rPr>
        <w:t>MASSON, 1998</w:t>
      </w:r>
      <w:r w:rsidR="00821FB3">
        <w:rPr>
          <w:u w:val="single"/>
        </w:rPr>
        <w:t>;</w:t>
      </w:r>
      <w:r w:rsidR="00821FB3" w:rsidRPr="00BF6174">
        <w:rPr>
          <w:u w:val="single"/>
        </w:rPr>
        <w:t xml:space="preserve"> BLUMENTHAL </w:t>
      </w:r>
      <w:proofErr w:type="gramStart"/>
      <w:r w:rsidR="00821FB3" w:rsidRPr="00BF6174">
        <w:rPr>
          <w:i/>
          <w:u w:val="single"/>
        </w:rPr>
        <w:t>et</w:t>
      </w:r>
      <w:proofErr w:type="gramEnd"/>
      <w:r w:rsidR="00821FB3" w:rsidRPr="00BF6174">
        <w:rPr>
          <w:i/>
          <w:u w:val="single"/>
        </w:rPr>
        <w:t xml:space="preserve"> al</w:t>
      </w:r>
      <w:r w:rsidR="00821FB3" w:rsidRPr="00BF6174">
        <w:rPr>
          <w:u w:val="single"/>
        </w:rPr>
        <w:t>.,</w:t>
      </w:r>
      <w:r w:rsidR="00821FB3">
        <w:rPr>
          <w:u w:val="single"/>
        </w:rPr>
        <w:t xml:space="preserve"> 2000</w:t>
      </w:r>
      <w:r w:rsidRPr="001307B6">
        <w:t>).</w:t>
      </w:r>
    </w:p>
    <w:p w:rsidR="009C379E" w:rsidRDefault="009C379E" w:rsidP="001307B6">
      <w:pPr>
        <w:jc w:val="both"/>
        <w:rPr>
          <w:bCs/>
        </w:rPr>
      </w:pPr>
      <w:proofErr w:type="spellStart"/>
      <w:r w:rsidRPr="001307B6">
        <w:rPr>
          <w:bCs/>
        </w:rPr>
        <w:t>Hiperaldosteronismo</w:t>
      </w:r>
      <w:proofErr w:type="spellEnd"/>
      <w:r w:rsidRPr="001307B6">
        <w:rPr>
          <w:bCs/>
        </w:rPr>
        <w:t xml:space="preserve">, </w:t>
      </w:r>
      <w:proofErr w:type="spellStart"/>
      <w:r w:rsidRPr="001307B6">
        <w:rPr>
          <w:bCs/>
        </w:rPr>
        <w:t>albuminúria</w:t>
      </w:r>
      <w:proofErr w:type="spellEnd"/>
      <w:r w:rsidRPr="001307B6">
        <w:rPr>
          <w:bCs/>
        </w:rPr>
        <w:t>, hematúria, inibição da movimentação intestinal e fraqueza muscular podem ocorrer.</w:t>
      </w:r>
    </w:p>
    <w:p w:rsidR="00142B05" w:rsidRDefault="00142B05" w:rsidP="001307B6">
      <w:pPr>
        <w:jc w:val="both"/>
        <w:rPr>
          <w:bCs/>
        </w:rPr>
      </w:pPr>
    </w:p>
    <w:p w:rsidR="00142B05" w:rsidRDefault="00142B05" w:rsidP="00142B05">
      <w:pPr>
        <w:autoSpaceDE w:val="0"/>
        <w:autoSpaceDN w:val="0"/>
        <w:adjustRightInd w:val="0"/>
        <w:jc w:val="both"/>
        <w:rPr>
          <w:b/>
        </w:rPr>
      </w:pPr>
      <w:r w:rsidRPr="00FF2194">
        <w:rPr>
          <w:b/>
        </w:rPr>
        <w:t xml:space="preserve">Este medicamento não deve ser utilizado por mulheres grávidas </w:t>
      </w:r>
      <w:r>
        <w:rPr>
          <w:b/>
        </w:rPr>
        <w:t xml:space="preserve">e em amamentação </w:t>
      </w:r>
      <w:r w:rsidRPr="00FF2194">
        <w:rPr>
          <w:b/>
        </w:rPr>
        <w:t>sem or</w:t>
      </w:r>
      <w:r>
        <w:rPr>
          <w:b/>
        </w:rPr>
        <w:t>ientação médica ou do cirurgião-</w:t>
      </w:r>
      <w:r w:rsidRPr="00FF2194">
        <w:rPr>
          <w:b/>
        </w:rPr>
        <w:t>dentista.</w:t>
      </w:r>
    </w:p>
    <w:p w:rsidR="00142B05" w:rsidRPr="00142B05" w:rsidRDefault="00142B05" w:rsidP="00142B05">
      <w:pPr>
        <w:ind w:right="-82"/>
        <w:jc w:val="both"/>
        <w:rPr>
          <w:color w:val="000000"/>
        </w:rPr>
      </w:pPr>
      <w:r>
        <w:rPr>
          <w:color w:val="000000"/>
        </w:rPr>
        <w:t xml:space="preserve">Mesmo havendo estudos, os mesmos não foram controlados e o uso no primeiro trimestre de gravidez deve ser feito </w:t>
      </w:r>
      <w:proofErr w:type="gramStart"/>
      <w:r>
        <w:rPr>
          <w:color w:val="000000"/>
        </w:rPr>
        <w:t>sob acompanhamento</w:t>
      </w:r>
      <w:proofErr w:type="gramEnd"/>
      <w:r>
        <w:rPr>
          <w:color w:val="000000"/>
        </w:rPr>
        <w:t xml:space="preserve"> restrito do profissional de saúde. </w:t>
      </w:r>
    </w:p>
    <w:p w:rsidR="00821FB3" w:rsidRPr="001307B6" w:rsidRDefault="00821FB3" w:rsidP="001307B6">
      <w:pPr>
        <w:jc w:val="both"/>
      </w:pPr>
    </w:p>
    <w:p w:rsidR="009C379E" w:rsidRDefault="009C379E" w:rsidP="001307B6">
      <w:pPr>
        <w:jc w:val="both"/>
        <w:rPr>
          <w:b/>
        </w:rPr>
      </w:pPr>
      <w:r w:rsidRPr="001307B6">
        <w:rPr>
          <w:b/>
          <w:bCs/>
        </w:rPr>
        <w:t>6.</w:t>
      </w:r>
      <w:r w:rsidRPr="001307B6">
        <w:rPr>
          <w:b/>
        </w:rPr>
        <w:t xml:space="preserve"> INTERAÇÕES MEDICAMENTOSAS</w:t>
      </w:r>
    </w:p>
    <w:p w:rsidR="00821FB3" w:rsidRPr="001307B6" w:rsidRDefault="00821FB3" w:rsidP="001307B6">
      <w:pPr>
        <w:jc w:val="both"/>
        <w:rPr>
          <w:b/>
        </w:rPr>
      </w:pPr>
    </w:p>
    <w:p w:rsidR="009C379E" w:rsidRPr="001307B6" w:rsidRDefault="009C379E" w:rsidP="001307B6">
      <w:pPr>
        <w:jc w:val="both"/>
      </w:pPr>
      <w:r w:rsidRPr="001307B6">
        <w:t xml:space="preserve">A perda de potássio, resultante do uso prolongado da </w:t>
      </w:r>
      <w:r w:rsidRPr="001307B6">
        <w:rPr>
          <w:i/>
        </w:rPr>
        <w:t>F</w:t>
      </w:r>
      <w:r w:rsidR="000440F2">
        <w:rPr>
          <w:i/>
        </w:rPr>
        <w:t>.</w:t>
      </w:r>
      <w:r w:rsidRPr="001307B6">
        <w:rPr>
          <w:i/>
        </w:rPr>
        <w:t xml:space="preserve"> </w:t>
      </w:r>
      <w:proofErr w:type="spellStart"/>
      <w:r w:rsidRPr="001307B6">
        <w:rPr>
          <w:i/>
        </w:rPr>
        <w:t>purshiana</w:t>
      </w:r>
      <w:proofErr w:type="spellEnd"/>
      <w:r w:rsidRPr="001307B6">
        <w:t xml:space="preserve">, pode potencializar a toxicidade dos digitálicos e as arritmias quando a </w:t>
      </w:r>
      <w:proofErr w:type="spellStart"/>
      <w:r w:rsidR="000440F2">
        <w:t>c</w:t>
      </w:r>
      <w:r w:rsidR="00573444" w:rsidRPr="001307B6">
        <w:t>áscara</w:t>
      </w:r>
      <w:proofErr w:type="spellEnd"/>
      <w:r w:rsidR="00573444" w:rsidRPr="001307B6">
        <w:t xml:space="preserve"> </w:t>
      </w:r>
      <w:r w:rsidRPr="001307B6">
        <w:t xml:space="preserve">é administrada concomitantemente com </w:t>
      </w:r>
      <w:r w:rsidR="00573444" w:rsidRPr="001307B6">
        <w:t>os medicamentos</w:t>
      </w:r>
      <w:r w:rsidRPr="001307B6">
        <w:t xml:space="preserve"> </w:t>
      </w:r>
      <w:r w:rsidR="00573444" w:rsidRPr="001307B6">
        <w:t xml:space="preserve">antiarrítmicos </w:t>
      </w:r>
      <w:r w:rsidRPr="001307B6">
        <w:t>(</w:t>
      </w:r>
      <w:r w:rsidR="000440F2" w:rsidRPr="00E87756">
        <w:rPr>
          <w:u w:val="single"/>
        </w:rPr>
        <w:t>PDR, 2000</w:t>
      </w:r>
      <w:r w:rsidRPr="001307B6">
        <w:t xml:space="preserve">). A interação de </w:t>
      </w:r>
      <w:r w:rsidRPr="001307B6">
        <w:rPr>
          <w:i/>
        </w:rPr>
        <w:t>F</w:t>
      </w:r>
      <w:r w:rsidR="000440F2">
        <w:rPr>
          <w:i/>
        </w:rPr>
        <w:t>.</w:t>
      </w:r>
      <w:r w:rsidRPr="001307B6">
        <w:rPr>
          <w:i/>
        </w:rPr>
        <w:t xml:space="preserve"> </w:t>
      </w:r>
      <w:proofErr w:type="spellStart"/>
      <w:r w:rsidRPr="001307B6">
        <w:rPr>
          <w:i/>
        </w:rPr>
        <w:t>purshiana</w:t>
      </w:r>
      <w:proofErr w:type="spellEnd"/>
      <w:r w:rsidRPr="001307B6">
        <w:t xml:space="preserve"> com diuréticos </w:t>
      </w:r>
      <w:proofErr w:type="spellStart"/>
      <w:r w:rsidRPr="001307B6">
        <w:t>tiazídicos</w:t>
      </w:r>
      <w:proofErr w:type="spellEnd"/>
      <w:r w:rsidRPr="001307B6">
        <w:t xml:space="preserve">, </w:t>
      </w:r>
      <w:proofErr w:type="spellStart"/>
      <w:r w:rsidRPr="001307B6">
        <w:t>esteróides</w:t>
      </w:r>
      <w:proofErr w:type="spellEnd"/>
      <w:r w:rsidRPr="001307B6">
        <w:t xml:space="preserve"> </w:t>
      </w:r>
      <w:proofErr w:type="spellStart"/>
      <w:r w:rsidRPr="001307B6">
        <w:t>corticoadrenais</w:t>
      </w:r>
      <w:proofErr w:type="spellEnd"/>
      <w:r w:rsidRPr="001307B6">
        <w:t xml:space="preserve"> e raiz de </w:t>
      </w:r>
      <w:proofErr w:type="spellStart"/>
      <w:r w:rsidRPr="001307B6">
        <w:rPr>
          <w:i/>
        </w:rPr>
        <w:t>Glycyrriza</w:t>
      </w:r>
      <w:proofErr w:type="spellEnd"/>
      <w:r w:rsidRPr="001307B6">
        <w:rPr>
          <w:i/>
        </w:rPr>
        <w:t xml:space="preserve"> glabra</w:t>
      </w:r>
      <w:r w:rsidRPr="001307B6">
        <w:t xml:space="preserve"> pode aumentar essa deficiência de potássio.</w:t>
      </w:r>
    </w:p>
    <w:p w:rsidR="009C379E" w:rsidRPr="001307B6" w:rsidRDefault="009C379E" w:rsidP="001307B6">
      <w:pPr>
        <w:jc w:val="both"/>
      </w:pPr>
      <w:r w:rsidRPr="001307B6">
        <w:t xml:space="preserve">A indometacina </w:t>
      </w:r>
      <w:r w:rsidR="00573444" w:rsidRPr="001307B6">
        <w:t xml:space="preserve">e outros anti-inflamatórios não </w:t>
      </w:r>
      <w:proofErr w:type="spellStart"/>
      <w:r w:rsidR="00573444" w:rsidRPr="001307B6">
        <w:t>esteroidais</w:t>
      </w:r>
      <w:proofErr w:type="spellEnd"/>
      <w:r w:rsidR="00573444" w:rsidRPr="001307B6">
        <w:t xml:space="preserve"> (</w:t>
      </w:r>
      <w:proofErr w:type="spellStart"/>
      <w:r w:rsidR="00573444" w:rsidRPr="001307B6">
        <w:t>AINEs</w:t>
      </w:r>
      <w:proofErr w:type="spellEnd"/>
      <w:r w:rsidR="00573444" w:rsidRPr="001307B6">
        <w:t xml:space="preserve">) </w:t>
      </w:r>
      <w:r w:rsidRPr="001307B6">
        <w:t>pode</w:t>
      </w:r>
      <w:r w:rsidR="00573444" w:rsidRPr="001307B6">
        <w:t>m</w:t>
      </w:r>
      <w:r w:rsidRPr="001307B6">
        <w:t xml:space="preserve"> ter seu efeito diminuído quando </w:t>
      </w:r>
      <w:r w:rsidR="00573444" w:rsidRPr="001307B6">
        <w:t xml:space="preserve">administrados </w:t>
      </w:r>
      <w:r w:rsidRPr="001307B6">
        <w:t xml:space="preserve">com a </w:t>
      </w:r>
      <w:r w:rsidRPr="001307B6">
        <w:rPr>
          <w:i/>
        </w:rPr>
        <w:t>F</w:t>
      </w:r>
      <w:r w:rsidR="000440F2">
        <w:rPr>
          <w:i/>
        </w:rPr>
        <w:t>.</w:t>
      </w:r>
      <w:r w:rsidRPr="001307B6">
        <w:rPr>
          <w:i/>
        </w:rPr>
        <w:t xml:space="preserve"> </w:t>
      </w:r>
      <w:proofErr w:type="spellStart"/>
      <w:r w:rsidRPr="001307B6">
        <w:rPr>
          <w:i/>
        </w:rPr>
        <w:t>purshiana</w:t>
      </w:r>
      <w:proofErr w:type="spellEnd"/>
      <w:r w:rsidRPr="001307B6">
        <w:t xml:space="preserve">, devido </w:t>
      </w:r>
      <w:r w:rsidR="00573444" w:rsidRPr="001307B6">
        <w:t xml:space="preserve">à </w:t>
      </w:r>
      <w:r w:rsidRPr="001307B6">
        <w:t>inibição da prostaglandina E2</w:t>
      </w:r>
      <w:r w:rsidR="000440F2">
        <w:t xml:space="preserve"> </w:t>
      </w:r>
      <w:r w:rsidR="000440F2" w:rsidRPr="001307B6">
        <w:t>(</w:t>
      </w:r>
      <w:r w:rsidR="000440F2" w:rsidRPr="00E87756">
        <w:rPr>
          <w:u w:val="single"/>
        </w:rPr>
        <w:t>PDR, 2000</w:t>
      </w:r>
      <w:r w:rsidR="000440F2" w:rsidRPr="001307B6">
        <w:t>)</w:t>
      </w:r>
      <w:r w:rsidRPr="001307B6">
        <w:t>.</w:t>
      </w:r>
      <w:r w:rsidR="00573444" w:rsidRPr="001307B6">
        <w:t xml:space="preserve"> </w:t>
      </w:r>
    </w:p>
    <w:p w:rsidR="009C379E" w:rsidRPr="001307B6" w:rsidRDefault="009C379E" w:rsidP="001307B6">
      <w:pPr>
        <w:jc w:val="both"/>
      </w:pPr>
      <w:r w:rsidRPr="001307B6">
        <w:t xml:space="preserve">Certos constituintes da </w:t>
      </w:r>
      <w:r w:rsidRPr="001307B6">
        <w:rPr>
          <w:i/>
        </w:rPr>
        <w:t>F</w:t>
      </w:r>
      <w:r w:rsidR="000440F2">
        <w:rPr>
          <w:i/>
        </w:rPr>
        <w:t>.</w:t>
      </w:r>
      <w:r w:rsidRPr="001307B6">
        <w:rPr>
          <w:i/>
        </w:rPr>
        <w:t xml:space="preserve"> </w:t>
      </w:r>
      <w:proofErr w:type="spellStart"/>
      <w:r w:rsidRPr="001307B6">
        <w:rPr>
          <w:i/>
        </w:rPr>
        <w:t>purshiana</w:t>
      </w:r>
      <w:proofErr w:type="spellEnd"/>
      <w:r w:rsidRPr="001307B6">
        <w:t xml:space="preserve"> são excretados </w:t>
      </w:r>
      <w:r w:rsidR="00976C96" w:rsidRPr="001307B6">
        <w:t>pelos rins</w:t>
      </w:r>
      <w:r w:rsidRPr="001307B6">
        <w:t xml:space="preserve">, podendo </w:t>
      </w:r>
      <w:r w:rsidR="00976C96" w:rsidRPr="001307B6">
        <w:t>tornar a urina alaranjada</w:t>
      </w:r>
      <w:r w:rsidRPr="001307B6">
        <w:t>.</w:t>
      </w:r>
    </w:p>
    <w:p w:rsidR="009C379E" w:rsidRDefault="009C379E" w:rsidP="001307B6">
      <w:pPr>
        <w:jc w:val="both"/>
      </w:pPr>
      <w:r w:rsidRPr="001307B6">
        <w:t>Pode haver alterações bioquímicas nos exames laboratoriais (</w:t>
      </w:r>
      <w:r w:rsidRPr="001307B6">
        <w:rPr>
          <w:u w:val="single"/>
        </w:rPr>
        <w:t>WHO, 2002</w:t>
      </w:r>
      <w:r w:rsidRPr="001307B6">
        <w:t>).</w:t>
      </w:r>
    </w:p>
    <w:p w:rsidR="000440F2" w:rsidRPr="001307B6" w:rsidRDefault="000440F2" w:rsidP="001307B6">
      <w:pPr>
        <w:jc w:val="both"/>
      </w:pPr>
    </w:p>
    <w:p w:rsidR="009C379E" w:rsidRDefault="009C379E" w:rsidP="001307B6">
      <w:pPr>
        <w:jc w:val="both"/>
        <w:rPr>
          <w:b/>
          <w:bCs/>
        </w:rPr>
      </w:pPr>
      <w:r w:rsidRPr="001307B6">
        <w:rPr>
          <w:b/>
        </w:rPr>
        <w:t>7.</w:t>
      </w:r>
      <w:r w:rsidRPr="001307B6">
        <w:rPr>
          <w:b/>
          <w:bCs/>
        </w:rPr>
        <w:t xml:space="preserve"> CUIDADOS DE ARMAZENAMENTO DO MEDICAMENTO</w:t>
      </w:r>
    </w:p>
    <w:p w:rsidR="000440F2" w:rsidRPr="001307B6" w:rsidRDefault="000440F2" w:rsidP="001307B6">
      <w:pPr>
        <w:jc w:val="both"/>
        <w:rPr>
          <w:b/>
          <w:bCs/>
        </w:rPr>
      </w:pPr>
    </w:p>
    <w:p w:rsidR="009C379E" w:rsidRDefault="009C379E" w:rsidP="001307B6">
      <w:pPr>
        <w:jc w:val="both"/>
      </w:pPr>
      <w:r w:rsidRPr="001307B6">
        <w:rPr>
          <w:u w:val="single"/>
        </w:rPr>
        <w:t>Descrever os cuidados específicos para o armazenamento do medicamento e informar o prazo de validade do medicamento a partir da data de fabricação, aprovado no registro, citando o número de meses</w:t>
      </w:r>
      <w:r w:rsidRPr="001307B6">
        <w:t xml:space="preserve">.  </w:t>
      </w:r>
    </w:p>
    <w:p w:rsidR="000440F2" w:rsidRDefault="000440F2" w:rsidP="001307B6">
      <w:pPr>
        <w:jc w:val="both"/>
      </w:pPr>
    </w:p>
    <w:p w:rsidR="009C379E" w:rsidRPr="001307B6" w:rsidRDefault="009C379E" w:rsidP="001307B6">
      <w:pPr>
        <w:jc w:val="both"/>
        <w:rPr>
          <w:b/>
        </w:rPr>
      </w:pPr>
      <w:r w:rsidRPr="001307B6">
        <w:rPr>
          <w:b/>
        </w:rPr>
        <w:t>Número de lote e datas de fabricação e validade: vide embalagem.</w:t>
      </w:r>
    </w:p>
    <w:p w:rsidR="009C379E" w:rsidRDefault="009C379E" w:rsidP="001307B6">
      <w:pPr>
        <w:jc w:val="both"/>
        <w:rPr>
          <w:b/>
        </w:rPr>
      </w:pPr>
      <w:r w:rsidRPr="001307B6">
        <w:rPr>
          <w:b/>
        </w:rPr>
        <w:t>Não use medicamento com o prazo de validade vencido. Guarde-o em sua embalagem original.</w:t>
      </w:r>
    </w:p>
    <w:p w:rsidR="000440F2" w:rsidRPr="001307B6" w:rsidRDefault="000440F2" w:rsidP="001307B6">
      <w:pPr>
        <w:jc w:val="both"/>
        <w:rPr>
          <w:color w:val="080900"/>
        </w:rPr>
      </w:pPr>
    </w:p>
    <w:p w:rsidR="00E377A4" w:rsidRDefault="00E377A4" w:rsidP="001307B6">
      <w:pPr>
        <w:jc w:val="both"/>
        <w:rPr>
          <w:color w:val="080900"/>
        </w:rPr>
      </w:pPr>
      <w:r w:rsidRPr="001307B6">
        <w:rPr>
          <w:color w:val="080900"/>
          <w:u w:val="single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</w:t>
      </w:r>
      <w:r w:rsidRPr="001307B6">
        <w:rPr>
          <w:b/>
          <w:color w:val="080900"/>
        </w:rPr>
        <w:t>:</w:t>
      </w:r>
      <w:r w:rsidRPr="001307B6">
        <w:rPr>
          <w:b/>
          <w:color w:val="080900"/>
        </w:rPr>
        <w:cr/>
        <w:t>Após aberto, válido por _____</w:t>
      </w:r>
      <w:r w:rsidRPr="001307B6">
        <w:rPr>
          <w:color w:val="080900"/>
        </w:rPr>
        <w:t xml:space="preserve"> (</w:t>
      </w:r>
      <w:r w:rsidRPr="001307B6">
        <w:rPr>
          <w:color w:val="080900"/>
          <w:u w:val="single"/>
        </w:rPr>
        <w:t>indicando o tempo de validade após aberto, conforme estudos de estabilidade do medicamento</w:t>
      </w:r>
      <w:proofErr w:type="gramStart"/>
      <w:r w:rsidRPr="001307B6">
        <w:rPr>
          <w:color w:val="080900"/>
        </w:rPr>
        <w:t>)</w:t>
      </w:r>
      <w:proofErr w:type="gramEnd"/>
      <w:r w:rsidRPr="001307B6">
        <w:rPr>
          <w:color w:val="080900"/>
        </w:rPr>
        <w:t xml:space="preserve"> </w:t>
      </w:r>
      <w:r w:rsidRPr="001307B6">
        <w:rPr>
          <w:color w:val="080900"/>
        </w:rPr>
        <w:cr/>
      </w:r>
      <w:r w:rsidRPr="001307B6">
        <w:rPr>
          <w:b/>
          <w:color w:val="080900"/>
        </w:rPr>
        <w:t>Após preparo, manter _____ por ____</w:t>
      </w:r>
      <w:r w:rsidRPr="001307B6">
        <w:rPr>
          <w:color w:val="080900"/>
        </w:rPr>
        <w:t xml:space="preserve"> (</w:t>
      </w:r>
      <w:r w:rsidRPr="001307B6">
        <w:rPr>
          <w:color w:val="080900"/>
          <w:u w:val="single"/>
        </w:rPr>
        <w:t>indicando o cuidado de conservação e o tempo de validade após preparo, conforme estudos de estabilidade do medicamento</w:t>
      </w:r>
      <w:proofErr w:type="gramStart"/>
      <w:r w:rsidRPr="001307B6">
        <w:rPr>
          <w:color w:val="080900"/>
        </w:rPr>
        <w:t>)</w:t>
      </w:r>
      <w:proofErr w:type="gramEnd"/>
      <w:r w:rsidRPr="001307B6">
        <w:rPr>
          <w:color w:val="080900"/>
        </w:rPr>
        <w:t xml:space="preserve"> </w:t>
      </w:r>
    </w:p>
    <w:p w:rsidR="000440F2" w:rsidRPr="001307B6" w:rsidRDefault="000440F2" w:rsidP="001307B6">
      <w:pPr>
        <w:jc w:val="both"/>
        <w:rPr>
          <w:color w:val="080900"/>
        </w:rPr>
      </w:pPr>
    </w:p>
    <w:p w:rsidR="00E377A4" w:rsidRDefault="00E377A4" w:rsidP="001307B6">
      <w:pPr>
        <w:jc w:val="both"/>
      </w:pPr>
      <w:r w:rsidRPr="001307B6">
        <w:rPr>
          <w:u w:val="single"/>
        </w:rPr>
        <w:t>Descrever as características físicas e organolépticas do produto e outras características do medicamento, inclusive após a reconstituição e/ou diluição</w:t>
      </w:r>
      <w:r w:rsidRPr="001307B6">
        <w:t xml:space="preserve">. </w:t>
      </w:r>
    </w:p>
    <w:p w:rsidR="000440F2" w:rsidRDefault="000440F2" w:rsidP="001307B6">
      <w:pPr>
        <w:jc w:val="both"/>
      </w:pPr>
    </w:p>
    <w:p w:rsidR="00E377A4" w:rsidRPr="001307B6" w:rsidRDefault="00E377A4" w:rsidP="001307B6">
      <w:pPr>
        <w:jc w:val="both"/>
        <w:rPr>
          <w:b/>
        </w:rPr>
      </w:pPr>
      <w:r w:rsidRPr="001307B6">
        <w:rPr>
          <w:b/>
        </w:rPr>
        <w:lastRenderedPageBreak/>
        <w:t xml:space="preserve">Antes de usar, observe o aspecto do medicamento. </w:t>
      </w:r>
    </w:p>
    <w:p w:rsidR="00E377A4" w:rsidRDefault="00E377A4" w:rsidP="001307B6">
      <w:pPr>
        <w:jc w:val="both"/>
        <w:rPr>
          <w:b/>
        </w:rPr>
      </w:pPr>
      <w:r w:rsidRPr="001307B6">
        <w:rPr>
          <w:b/>
        </w:rPr>
        <w:t>Todo medicamento deve ser mantido fora do alcance das crianças.</w:t>
      </w:r>
    </w:p>
    <w:p w:rsidR="000440F2" w:rsidRPr="001307B6" w:rsidRDefault="000440F2" w:rsidP="001307B6">
      <w:pPr>
        <w:jc w:val="both"/>
      </w:pPr>
    </w:p>
    <w:p w:rsidR="009C379E" w:rsidRDefault="009C379E" w:rsidP="001307B6">
      <w:pPr>
        <w:jc w:val="both"/>
        <w:rPr>
          <w:b/>
          <w:bCs/>
        </w:rPr>
      </w:pPr>
      <w:r w:rsidRPr="001307B6">
        <w:rPr>
          <w:b/>
        </w:rPr>
        <w:t>8.</w:t>
      </w:r>
      <w:r w:rsidRPr="001307B6">
        <w:rPr>
          <w:b/>
          <w:bCs/>
        </w:rPr>
        <w:t xml:space="preserve"> POSOLOGIA E MODO DE USAR</w:t>
      </w:r>
    </w:p>
    <w:p w:rsidR="000440F2" w:rsidRPr="001307B6" w:rsidRDefault="000440F2" w:rsidP="001307B6">
      <w:pPr>
        <w:jc w:val="both"/>
        <w:rPr>
          <w:b/>
          <w:bCs/>
        </w:rPr>
      </w:pPr>
    </w:p>
    <w:p w:rsidR="006F7D31" w:rsidRPr="001307B6" w:rsidRDefault="006F7D31" w:rsidP="001307B6">
      <w:pPr>
        <w:autoSpaceDE w:val="0"/>
        <w:autoSpaceDN w:val="0"/>
        <w:adjustRightInd w:val="0"/>
        <w:jc w:val="both"/>
      </w:pPr>
      <w:r w:rsidRPr="001307B6">
        <w:t>Ingerir XXX (</w:t>
      </w:r>
      <w:r w:rsidRPr="001307B6">
        <w:rPr>
          <w:u w:val="single"/>
        </w:rPr>
        <w:t>inserir a unidade de medida ou unidade farmacotécnica</w:t>
      </w:r>
      <w:r w:rsidRPr="001307B6">
        <w:t>), de XXX em XXX horas</w:t>
      </w:r>
      <w:r w:rsidR="00DF7493">
        <w:t>,</w:t>
      </w:r>
      <w:bookmarkStart w:id="0" w:name="_GoBack"/>
      <w:bookmarkEnd w:id="0"/>
      <w:r w:rsidR="000440F2">
        <w:t xml:space="preserve"> ou a critério médico</w:t>
      </w:r>
      <w:r w:rsidRPr="001307B6">
        <w:t>. (</w:t>
      </w:r>
      <w:r w:rsidRPr="000440F2">
        <w:rPr>
          <w:u w:val="single"/>
        </w:rPr>
        <w:t xml:space="preserve">A dose diária deve estar entre 20 e 30 mg de derivados </w:t>
      </w:r>
      <w:proofErr w:type="spellStart"/>
      <w:r w:rsidRPr="000440F2">
        <w:rPr>
          <w:u w:val="single"/>
        </w:rPr>
        <w:t>hidroxiantracênicos</w:t>
      </w:r>
      <w:proofErr w:type="spellEnd"/>
      <w:r w:rsidRPr="000440F2">
        <w:rPr>
          <w:u w:val="single"/>
        </w:rPr>
        <w:t xml:space="preserve"> expressos em </w:t>
      </w:r>
      <w:proofErr w:type="spellStart"/>
      <w:r w:rsidRPr="000440F2">
        <w:rPr>
          <w:u w:val="single"/>
        </w:rPr>
        <w:t>cascarosídeo</w:t>
      </w:r>
      <w:proofErr w:type="spellEnd"/>
      <w:r w:rsidRPr="000440F2">
        <w:rPr>
          <w:u w:val="single"/>
        </w:rPr>
        <w:t xml:space="preserve"> A  e a empresa deve informar o valor rotulado da dose diária de seu medicamento, dentro dessa faixa, conforme aprovado no dossiê de registro</w:t>
      </w:r>
      <w:r w:rsidRPr="001307B6">
        <w:t>).</w:t>
      </w:r>
    </w:p>
    <w:p w:rsidR="006F7D31" w:rsidRDefault="006F7D31" w:rsidP="001307B6">
      <w:pPr>
        <w:autoSpaceDE w:val="0"/>
        <w:autoSpaceDN w:val="0"/>
        <w:adjustRightInd w:val="0"/>
        <w:jc w:val="both"/>
      </w:pPr>
      <w:r w:rsidRPr="001307B6">
        <w:t>Este medicamento não deve ser utilizado por mais de uma semana. (</w:t>
      </w:r>
      <w:r w:rsidRPr="001307B6">
        <w:rPr>
          <w:u w:val="single"/>
        </w:rPr>
        <w:t xml:space="preserve">BLUMENTHAL </w:t>
      </w:r>
      <w:proofErr w:type="gramStart"/>
      <w:r w:rsidR="004348A1" w:rsidRPr="000440F2">
        <w:rPr>
          <w:i/>
          <w:u w:val="single"/>
        </w:rPr>
        <w:t>et</w:t>
      </w:r>
      <w:proofErr w:type="gramEnd"/>
      <w:r w:rsidR="004348A1" w:rsidRPr="000440F2">
        <w:rPr>
          <w:i/>
          <w:u w:val="single"/>
        </w:rPr>
        <w:t xml:space="preserve"> al</w:t>
      </w:r>
      <w:r w:rsidRPr="001307B6">
        <w:rPr>
          <w:u w:val="single"/>
        </w:rPr>
        <w:t>., 2000</w:t>
      </w:r>
      <w:r w:rsidRPr="001307B6">
        <w:t>)</w:t>
      </w:r>
    </w:p>
    <w:p w:rsidR="000440F2" w:rsidRPr="001307B6" w:rsidRDefault="000440F2" w:rsidP="001307B6">
      <w:pPr>
        <w:autoSpaceDE w:val="0"/>
        <w:autoSpaceDN w:val="0"/>
        <w:adjustRightInd w:val="0"/>
        <w:jc w:val="both"/>
      </w:pPr>
    </w:p>
    <w:p w:rsidR="00142B05" w:rsidRDefault="00142B05" w:rsidP="00142B05">
      <w:pPr>
        <w:jc w:val="both"/>
        <w:rPr>
          <w:u w:val="single"/>
        </w:rPr>
      </w:pPr>
      <w:r w:rsidRPr="00342F6B">
        <w:rPr>
          <w:u w:val="single"/>
        </w:rPr>
        <w:t>Incluir o risco de uso por via de administração não recomendada, quando aplicável.</w:t>
      </w:r>
    </w:p>
    <w:p w:rsidR="00142B05" w:rsidRDefault="00142B05" w:rsidP="00142B05">
      <w:r w:rsidRPr="00DD42BE">
        <w:t xml:space="preserve">Utilizar apenas a via oral. O uso deste medicamento por outra via, que não a oral, pode causar a perda do efeito esperado ou mesmo promover danos ao seu usuário. </w:t>
      </w:r>
    </w:p>
    <w:p w:rsidR="00142B05" w:rsidRDefault="00142B05" w:rsidP="00142B05">
      <w:pPr>
        <w:jc w:val="both"/>
        <w:rPr>
          <w:u w:val="single"/>
        </w:rPr>
      </w:pPr>
    </w:p>
    <w:p w:rsidR="00142B05" w:rsidRPr="00187AB4" w:rsidRDefault="00142B05" w:rsidP="00142B05">
      <w:pPr>
        <w:autoSpaceDE w:val="0"/>
        <w:autoSpaceDN w:val="0"/>
        <w:jc w:val="both"/>
        <w:rPr>
          <w:u w:val="single"/>
        </w:rPr>
      </w:pPr>
      <w:r w:rsidRPr="00187AB4">
        <w:rPr>
          <w:u w:val="single"/>
        </w:rPr>
        <w:t>Para soluções para diluição ou pós ou granulados para solução, suspensão ou emulsão de</w:t>
      </w:r>
      <w:r>
        <w:rPr>
          <w:u w:val="single"/>
        </w:rPr>
        <w:t xml:space="preserve"> </w:t>
      </w:r>
      <w:r w:rsidRPr="00187AB4">
        <w:rPr>
          <w:u w:val="single"/>
        </w:rPr>
        <w:t>uso oral ou injetável, incluir:</w:t>
      </w:r>
    </w:p>
    <w:p w:rsidR="00142B05" w:rsidRPr="00187AB4" w:rsidRDefault="00142B05" w:rsidP="00142B05">
      <w:pPr>
        <w:autoSpaceDE w:val="0"/>
        <w:autoSpaceDN w:val="0"/>
        <w:jc w:val="both"/>
        <w:rPr>
          <w:u w:val="single"/>
        </w:rPr>
      </w:pPr>
      <w:r w:rsidRPr="00187AB4">
        <w:rPr>
          <w:u w:val="single"/>
        </w:rPr>
        <w:t>- o procedimento detalhado para reconstituição e/ou diluição antes da administração;</w:t>
      </w:r>
    </w:p>
    <w:p w:rsidR="00142B05" w:rsidRPr="00187AB4" w:rsidRDefault="00142B05" w:rsidP="00142B05">
      <w:pPr>
        <w:autoSpaceDE w:val="0"/>
        <w:autoSpaceDN w:val="0"/>
        <w:jc w:val="both"/>
        <w:rPr>
          <w:u w:val="single"/>
        </w:rPr>
      </w:pPr>
      <w:r w:rsidRPr="00187AB4">
        <w:rPr>
          <w:u w:val="single"/>
        </w:rPr>
        <w:t xml:space="preserve">- o(s) diluente(s) a </w:t>
      </w:r>
      <w:proofErr w:type="gramStart"/>
      <w:r w:rsidRPr="00187AB4">
        <w:rPr>
          <w:u w:val="single"/>
        </w:rPr>
        <w:t>ser(</w:t>
      </w:r>
      <w:proofErr w:type="gramEnd"/>
      <w:r w:rsidRPr="00187AB4">
        <w:rPr>
          <w:u w:val="single"/>
        </w:rPr>
        <w:t>em) utilizado(s);</w:t>
      </w:r>
    </w:p>
    <w:p w:rsidR="00142B05" w:rsidRPr="00187AB4" w:rsidRDefault="00142B05" w:rsidP="00142B05">
      <w:pPr>
        <w:autoSpaceDE w:val="0"/>
        <w:autoSpaceDN w:val="0"/>
        <w:jc w:val="both"/>
        <w:rPr>
          <w:u w:val="single"/>
        </w:rPr>
      </w:pPr>
      <w:r w:rsidRPr="00187AB4">
        <w:rPr>
          <w:u w:val="single"/>
        </w:rPr>
        <w:t xml:space="preserve">- o volume final do medicamento preparado; </w:t>
      </w:r>
      <w:proofErr w:type="gramStart"/>
      <w:r w:rsidRPr="00187AB4">
        <w:rPr>
          <w:u w:val="single"/>
        </w:rPr>
        <w:t>e</w:t>
      </w:r>
      <w:proofErr w:type="gramEnd"/>
    </w:p>
    <w:p w:rsidR="00142B05" w:rsidRPr="000B46D2" w:rsidRDefault="00142B05" w:rsidP="00142B05">
      <w:pPr>
        <w:autoSpaceDE w:val="0"/>
        <w:autoSpaceDN w:val="0"/>
        <w:jc w:val="both"/>
        <w:rPr>
          <w:u w:val="single"/>
        </w:rPr>
      </w:pPr>
      <w:r w:rsidRPr="000B46D2">
        <w:rPr>
          <w:u w:val="single"/>
        </w:rPr>
        <w:t>- concentração do medicamento preparado.</w:t>
      </w:r>
    </w:p>
    <w:p w:rsidR="00142B05" w:rsidRPr="00342F6B" w:rsidRDefault="00142B05" w:rsidP="00142B05">
      <w:pPr>
        <w:jc w:val="both"/>
        <w:rPr>
          <w:u w:val="single"/>
        </w:rPr>
      </w:pPr>
    </w:p>
    <w:p w:rsidR="00142B05" w:rsidRPr="00274C16" w:rsidRDefault="00142B05" w:rsidP="00142B05">
      <w:pPr>
        <w:tabs>
          <w:tab w:val="left" w:pos="9000"/>
        </w:tabs>
        <w:jc w:val="both"/>
        <w:rPr>
          <w:u w:val="single"/>
        </w:rPr>
      </w:pPr>
      <w:r w:rsidRPr="00342F6B">
        <w:rPr>
          <w:u w:val="single"/>
        </w:rPr>
        <w:t>Descrever a posologia, incluindo as seguintes informações</w:t>
      </w:r>
      <w:r w:rsidRPr="00342F6B">
        <w:t>:</w:t>
      </w:r>
      <w:r w:rsidRPr="00342F6B">
        <w:cr/>
      </w:r>
      <w:r w:rsidRPr="00274C16">
        <w:rPr>
          <w:u w:val="single"/>
        </w:rPr>
        <w:t>- dose para forma farmacêutica e concentração, expresso, quando aplicável, em unidades de medida ou unidade farmacotécnica correspondente em função ao tempo, definindo o intervalo de administração em unidade de tempo;</w:t>
      </w:r>
      <w:r w:rsidRPr="00274C16">
        <w:rPr>
          <w:u w:val="single"/>
        </w:rPr>
        <w:cr/>
        <w:t>- a dose inicial e de manutenção, quando aplicável;</w:t>
      </w:r>
      <w:r w:rsidRPr="00274C16">
        <w:rPr>
          <w:u w:val="single"/>
        </w:rPr>
        <w:cr/>
        <w:t xml:space="preserve">- duração de tratamento; </w:t>
      </w:r>
      <w:r w:rsidRPr="00274C16">
        <w:rPr>
          <w:u w:val="single"/>
        </w:rPr>
        <w:cr/>
        <w:t>- vias de administração;</w:t>
      </w:r>
    </w:p>
    <w:p w:rsidR="00142B05" w:rsidRPr="00274C16" w:rsidRDefault="00142B05" w:rsidP="00142B05">
      <w:pPr>
        <w:tabs>
          <w:tab w:val="left" w:pos="9000"/>
        </w:tabs>
        <w:jc w:val="both"/>
        <w:rPr>
          <w:u w:val="single"/>
        </w:rPr>
      </w:pPr>
      <w:r w:rsidRPr="00274C16">
        <w:rPr>
          <w:u w:val="single"/>
        </w:rPr>
        <w:t>- orientações para cada indicação terapêutica nos casos de posologias distintas;</w:t>
      </w:r>
    </w:p>
    <w:p w:rsidR="00142B05" w:rsidRPr="00274C16" w:rsidRDefault="00142B05" w:rsidP="00142B05">
      <w:pPr>
        <w:tabs>
          <w:tab w:val="left" w:pos="9000"/>
        </w:tabs>
        <w:jc w:val="both"/>
        <w:rPr>
          <w:u w:val="single"/>
        </w:rPr>
      </w:pPr>
      <w:r w:rsidRPr="00274C16">
        <w:rPr>
          <w:u w:val="single"/>
        </w:rPr>
        <w:t xml:space="preserve">- orientações para uso adulto e/ou uso pediátrico, de acordo com o aprovado no registro; </w:t>
      </w:r>
    </w:p>
    <w:p w:rsidR="00142B05" w:rsidRDefault="00142B05" w:rsidP="00142B05">
      <w:pPr>
        <w:tabs>
          <w:tab w:val="left" w:pos="9000"/>
        </w:tabs>
        <w:jc w:val="both"/>
        <w:rPr>
          <w:u w:val="single"/>
        </w:rPr>
      </w:pPr>
      <w:r w:rsidRPr="00274C16">
        <w:rPr>
          <w:u w:val="single"/>
        </w:rPr>
        <w:t>- orientações sobre o monitoramento e ajuste de dose para populações especiais.</w:t>
      </w:r>
    </w:p>
    <w:p w:rsidR="00142B05" w:rsidRDefault="00142B05" w:rsidP="00142B05">
      <w:pPr>
        <w:tabs>
          <w:tab w:val="left" w:pos="9000"/>
        </w:tabs>
        <w:jc w:val="both"/>
        <w:rPr>
          <w:u w:val="single"/>
        </w:rPr>
      </w:pPr>
    </w:p>
    <w:p w:rsidR="00142B05" w:rsidRDefault="00142B05" w:rsidP="00142B05">
      <w:pPr>
        <w:autoSpaceDE w:val="0"/>
        <w:autoSpaceDN w:val="0"/>
        <w:rPr>
          <w:u w:val="single"/>
        </w:rPr>
      </w:pPr>
      <w:r w:rsidRPr="002E568A">
        <w:rPr>
          <w:u w:val="single"/>
        </w:rPr>
        <w:t>Para as formas farmacêuticas de liberação modificada expressar a dose liberada por unidade</w:t>
      </w:r>
      <w:r>
        <w:rPr>
          <w:u w:val="single"/>
        </w:rPr>
        <w:t xml:space="preserve"> </w:t>
      </w:r>
      <w:r w:rsidRPr="002E568A">
        <w:rPr>
          <w:u w:val="single"/>
        </w:rPr>
        <w:t>de tempo e tempo total de liberação do princípio ativo.</w:t>
      </w:r>
    </w:p>
    <w:p w:rsidR="00142B05" w:rsidRPr="00274C16" w:rsidRDefault="00142B05" w:rsidP="00142B05">
      <w:pPr>
        <w:tabs>
          <w:tab w:val="left" w:pos="9000"/>
        </w:tabs>
        <w:jc w:val="both"/>
        <w:rPr>
          <w:u w:val="single"/>
        </w:rPr>
      </w:pPr>
    </w:p>
    <w:p w:rsidR="00142B05" w:rsidRDefault="00142B05" w:rsidP="00142B05">
      <w:pPr>
        <w:tabs>
          <w:tab w:val="left" w:pos="9000"/>
        </w:tabs>
        <w:jc w:val="both"/>
        <w:rPr>
          <w:u w:val="single"/>
        </w:rPr>
      </w:pPr>
      <w:r w:rsidRPr="00342F6B">
        <w:rPr>
          <w:u w:val="single"/>
        </w:rPr>
        <w:t>Descrever o limite máximo diário de administração do medicamento expresso em unidades de medida ou unidade farmacotécnica correspondente.</w:t>
      </w:r>
    </w:p>
    <w:p w:rsidR="00142B05" w:rsidRDefault="00142B05" w:rsidP="00142B05">
      <w:pPr>
        <w:jc w:val="both"/>
        <w:rPr>
          <w:b/>
        </w:rPr>
      </w:pPr>
    </w:p>
    <w:p w:rsidR="00142B05" w:rsidRDefault="00142B05" w:rsidP="00142B05">
      <w:pPr>
        <w:jc w:val="both"/>
      </w:pPr>
      <w:r w:rsidRPr="00342F6B">
        <w:rPr>
          <w:b/>
        </w:rPr>
        <w:t>Este medicamento não deve ser partido, aberto ou mastigado.</w:t>
      </w:r>
      <w:r w:rsidRPr="00342F6B">
        <w:t xml:space="preserve"> (</w:t>
      </w:r>
      <w:r w:rsidRPr="00342F6B">
        <w:rPr>
          <w:u w:val="single"/>
        </w:rPr>
        <w:t>para comprimidos revestidos, cápsulas e compridos de liberação modificada e outras que couber</w:t>
      </w:r>
      <w:r w:rsidRPr="00342F6B">
        <w:t xml:space="preserve">) ou </w:t>
      </w:r>
      <w:r w:rsidRPr="00342F6B">
        <w:rPr>
          <w:b/>
        </w:rPr>
        <w:t>Este medicamento não deve ser cortado.</w:t>
      </w:r>
      <w:r w:rsidRPr="00342F6B">
        <w:t xml:space="preserve"> (</w:t>
      </w:r>
      <w:r w:rsidRPr="00342F6B">
        <w:rPr>
          <w:u w:val="single"/>
        </w:rPr>
        <w:t>para adesivos e outras que couber</w:t>
      </w:r>
      <w:r w:rsidRPr="00342F6B">
        <w:t>)</w:t>
      </w:r>
    </w:p>
    <w:p w:rsidR="000440F2" w:rsidRPr="001307B6" w:rsidRDefault="000440F2" w:rsidP="001307B6">
      <w:pPr>
        <w:jc w:val="both"/>
      </w:pPr>
    </w:p>
    <w:p w:rsidR="009C379E" w:rsidRDefault="009C379E" w:rsidP="001307B6">
      <w:pPr>
        <w:jc w:val="both"/>
        <w:rPr>
          <w:b/>
        </w:rPr>
      </w:pPr>
      <w:r w:rsidRPr="001307B6">
        <w:rPr>
          <w:b/>
        </w:rPr>
        <w:t>9. REAÇÕES ADVERSAS</w:t>
      </w:r>
    </w:p>
    <w:p w:rsidR="000440F2" w:rsidRPr="001307B6" w:rsidRDefault="000440F2" w:rsidP="001307B6">
      <w:pPr>
        <w:jc w:val="both"/>
        <w:rPr>
          <w:b/>
        </w:rPr>
      </w:pPr>
    </w:p>
    <w:p w:rsidR="009C379E" w:rsidRDefault="009C379E" w:rsidP="001307B6">
      <w:pPr>
        <w:jc w:val="both"/>
      </w:pPr>
      <w:r w:rsidRPr="001307B6">
        <w:t xml:space="preserve">Podem ocorrer queixas espasmódicas gastrointestinais. Em </w:t>
      </w:r>
      <w:r w:rsidR="005C2131" w:rsidRPr="001307B6">
        <w:t>casos raros</w:t>
      </w:r>
      <w:r w:rsidRPr="001307B6">
        <w:t>,</w:t>
      </w:r>
      <w:r w:rsidR="00025295">
        <w:t xml:space="preserve"> </w:t>
      </w:r>
      <w:r w:rsidR="005C2131" w:rsidRPr="001307B6">
        <w:t>o medicamento</w:t>
      </w:r>
      <w:r w:rsidRPr="001307B6">
        <w:t xml:space="preserve"> pode </w:t>
      </w:r>
      <w:r w:rsidR="005C2131" w:rsidRPr="001307B6">
        <w:t>ocasionar</w:t>
      </w:r>
      <w:r w:rsidRPr="001307B6">
        <w:t xml:space="preserve"> arritmias cardíacas, </w:t>
      </w:r>
      <w:proofErr w:type="spellStart"/>
      <w:r w:rsidRPr="001307B6">
        <w:t>nefropatias</w:t>
      </w:r>
      <w:proofErr w:type="spellEnd"/>
      <w:r w:rsidRPr="001307B6">
        <w:t>, edema e deterioração óssea acelerada.</w:t>
      </w:r>
    </w:p>
    <w:p w:rsidR="00025295" w:rsidRDefault="00025295" w:rsidP="001307B6">
      <w:pPr>
        <w:jc w:val="both"/>
      </w:pPr>
    </w:p>
    <w:p w:rsidR="009C379E" w:rsidRDefault="009C379E" w:rsidP="001307B6">
      <w:pPr>
        <w:jc w:val="both"/>
      </w:pPr>
      <w:r w:rsidRPr="001307B6">
        <w:lastRenderedPageBreak/>
        <w:t xml:space="preserve">Em casos de eventos adversos, notifique ao Sistema de Notificações em Vigilância Sanitária - NOTIVISA, disponível em </w:t>
      </w:r>
      <w:proofErr w:type="spellStart"/>
      <w:proofErr w:type="gramStart"/>
      <w:r w:rsidRPr="001307B6">
        <w:t>www</w:t>
      </w:r>
      <w:proofErr w:type="spellEnd"/>
      <w:r w:rsidRPr="001307B6">
        <w:t>.____________,</w:t>
      </w:r>
      <w:proofErr w:type="gramEnd"/>
      <w:r w:rsidRPr="001307B6">
        <w:t xml:space="preserve"> ou para a Vigilância Sanitária Estadual ou Municipal. (</w:t>
      </w:r>
      <w:r w:rsidRPr="001307B6">
        <w:rPr>
          <w:u w:val="single"/>
        </w:rPr>
        <w:t>incluindo no espaço o endereço eletrônico atualizado do NOTIVISA</w:t>
      </w:r>
      <w:r w:rsidRPr="001307B6">
        <w:t>)</w:t>
      </w:r>
    </w:p>
    <w:p w:rsidR="00025295" w:rsidRPr="001307B6" w:rsidRDefault="00025295" w:rsidP="001307B6">
      <w:pPr>
        <w:jc w:val="both"/>
      </w:pPr>
    </w:p>
    <w:p w:rsidR="009C379E" w:rsidRDefault="009C379E" w:rsidP="001307B6">
      <w:pPr>
        <w:jc w:val="both"/>
        <w:rPr>
          <w:b/>
        </w:rPr>
      </w:pPr>
      <w:r w:rsidRPr="001307B6">
        <w:rPr>
          <w:b/>
        </w:rPr>
        <w:t>10. SUPERDOSE</w:t>
      </w:r>
    </w:p>
    <w:p w:rsidR="00025295" w:rsidRPr="001307B6" w:rsidRDefault="00025295" w:rsidP="001307B6">
      <w:pPr>
        <w:jc w:val="both"/>
        <w:rPr>
          <w:b/>
        </w:rPr>
      </w:pPr>
    </w:p>
    <w:p w:rsidR="009C379E" w:rsidRPr="001307B6" w:rsidRDefault="009C379E" w:rsidP="001307B6">
      <w:pPr>
        <w:jc w:val="both"/>
        <w:rPr>
          <w:bCs/>
        </w:rPr>
      </w:pPr>
      <w:r w:rsidRPr="001307B6">
        <w:rPr>
          <w:bCs/>
        </w:rPr>
        <w:t xml:space="preserve">Pode haver perda de eletrólitos, em especial de potássio, o que pode </w:t>
      </w:r>
      <w:r w:rsidR="00410C00" w:rsidRPr="001307B6">
        <w:rPr>
          <w:bCs/>
        </w:rPr>
        <w:t>ocasionar</w:t>
      </w:r>
      <w:r w:rsidRPr="001307B6">
        <w:rPr>
          <w:bCs/>
        </w:rPr>
        <w:t xml:space="preserve"> complicações em cardiopatas, </w:t>
      </w:r>
      <w:r w:rsidR="00410C00" w:rsidRPr="001307B6">
        <w:rPr>
          <w:bCs/>
        </w:rPr>
        <w:t xml:space="preserve">bem como nos pacientes com </w:t>
      </w:r>
      <w:proofErr w:type="spellStart"/>
      <w:r w:rsidRPr="001307B6">
        <w:rPr>
          <w:bCs/>
        </w:rPr>
        <w:t>esteatorré</w:t>
      </w:r>
      <w:r w:rsidR="00410C00" w:rsidRPr="001307B6">
        <w:rPr>
          <w:bCs/>
        </w:rPr>
        <w:t>i</w:t>
      </w:r>
      <w:r w:rsidRPr="001307B6">
        <w:rPr>
          <w:bCs/>
        </w:rPr>
        <w:t>a</w:t>
      </w:r>
      <w:proofErr w:type="spellEnd"/>
      <w:r w:rsidRPr="001307B6">
        <w:rPr>
          <w:bCs/>
        </w:rPr>
        <w:t xml:space="preserve"> leve e </w:t>
      </w:r>
      <w:r w:rsidR="00410C00" w:rsidRPr="001307B6">
        <w:rPr>
          <w:bCs/>
        </w:rPr>
        <w:t xml:space="preserve">com </w:t>
      </w:r>
      <w:proofErr w:type="spellStart"/>
      <w:r w:rsidRPr="001307B6">
        <w:rPr>
          <w:bCs/>
        </w:rPr>
        <w:t>enteropatia</w:t>
      </w:r>
      <w:proofErr w:type="spellEnd"/>
      <w:r w:rsidRPr="001307B6">
        <w:rPr>
          <w:bCs/>
        </w:rPr>
        <w:t xml:space="preserve"> perdedora de proteínas.</w:t>
      </w:r>
    </w:p>
    <w:p w:rsidR="009C379E" w:rsidRPr="001307B6" w:rsidRDefault="009C379E" w:rsidP="001307B6">
      <w:pPr>
        <w:jc w:val="both"/>
        <w:rPr>
          <w:bCs/>
        </w:rPr>
      </w:pPr>
      <w:r w:rsidRPr="001307B6">
        <w:rPr>
          <w:bCs/>
        </w:rPr>
        <w:t>Forte efeito purgante pode ocorrer.</w:t>
      </w:r>
    </w:p>
    <w:p w:rsidR="009C379E" w:rsidRPr="001307B6" w:rsidRDefault="009C379E" w:rsidP="001307B6">
      <w:pPr>
        <w:autoSpaceDE w:val="0"/>
        <w:autoSpaceDN w:val="0"/>
        <w:adjustRightInd w:val="0"/>
        <w:jc w:val="both"/>
        <w:rPr>
          <w:bCs/>
        </w:rPr>
      </w:pPr>
      <w:r w:rsidRPr="001307B6">
        <w:rPr>
          <w:bCs/>
        </w:rPr>
        <w:t>O tratamento da superdose é importante, principalmente para crianças e idosos, devendo ser acompanhado com grandes quantidades de água</w:t>
      </w:r>
      <w:r w:rsidR="00ED2D95" w:rsidRPr="001307B6">
        <w:rPr>
          <w:bCs/>
        </w:rPr>
        <w:t xml:space="preserve"> (</w:t>
      </w:r>
      <w:r w:rsidR="00ED2D95" w:rsidRPr="001307B6">
        <w:rPr>
          <w:bCs/>
          <w:u w:val="single"/>
        </w:rPr>
        <w:t>WHO, 2002; ESCOP, 2003</w:t>
      </w:r>
      <w:r w:rsidR="00ED2D95" w:rsidRPr="001307B6">
        <w:rPr>
          <w:bCs/>
        </w:rPr>
        <w:t>)</w:t>
      </w:r>
      <w:r w:rsidRPr="001307B6">
        <w:rPr>
          <w:bCs/>
        </w:rPr>
        <w:t>.</w:t>
      </w:r>
    </w:p>
    <w:p w:rsidR="009C379E" w:rsidRDefault="009C379E" w:rsidP="001307B6">
      <w:pPr>
        <w:jc w:val="both"/>
      </w:pPr>
      <w:r w:rsidRPr="001307B6">
        <w:t xml:space="preserve">Em caso de </w:t>
      </w:r>
      <w:proofErr w:type="spellStart"/>
      <w:r w:rsidRPr="001307B6">
        <w:t>superdosagem</w:t>
      </w:r>
      <w:proofErr w:type="spellEnd"/>
      <w:r w:rsidRPr="001307B6">
        <w:t>, suspender a medicação imediatamente. Recomenda-se tratamento de suporte sintomático pelas medidas habituais de apoio e controle das funções vitais.</w:t>
      </w:r>
    </w:p>
    <w:p w:rsidR="009C116A" w:rsidRDefault="009C116A" w:rsidP="001307B6">
      <w:pPr>
        <w:jc w:val="both"/>
      </w:pPr>
    </w:p>
    <w:p w:rsidR="009C379E" w:rsidRPr="001307B6" w:rsidRDefault="009C379E" w:rsidP="001307B6">
      <w:pPr>
        <w:jc w:val="both"/>
        <w:rPr>
          <w:b/>
        </w:rPr>
      </w:pPr>
      <w:r w:rsidRPr="001307B6">
        <w:rPr>
          <w:b/>
        </w:rPr>
        <w:t>Em caso de intoxicação ligue para 0800 722 6001, se você precisar de mais o</w:t>
      </w:r>
      <w:r w:rsidR="00ED2D95" w:rsidRPr="001307B6">
        <w:rPr>
          <w:b/>
        </w:rPr>
        <w:t>rientações.</w:t>
      </w:r>
    </w:p>
    <w:p w:rsidR="009C379E" w:rsidRPr="001307B6" w:rsidRDefault="009C379E" w:rsidP="001307B6">
      <w:pPr>
        <w:jc w:val="both"/>
      </w:pPr>
    </w:p>
    <w:p w:rsidR="009C379E" w:rsidRDefault="009C379E" w:rsidP="001307B6">
      <w:pPr>
        <w:jc w:val="both"/>
        <w:rPr>
          <w:b/>
        </w:rPr>
      </w:pPr>
      <w:r w:rsidRPr="001307B6">
        <w:rPr>
          <w:b/>
        </w:rPr>
        <w:t>DIZERES LEGAIS</w:t>
      </w:r>
    </w:p>
    <w:p w:rsidR="00EE7F4E" w:rsidRPr="001307B6" w:rsidRDefault="00EE7F4E" w:rsidP="001307B6">
      <w:pPr>
        <w:jc w:val="both"/>
        <w:rPr>
          <w:b/>
        </w:rPr>
      </w:pPr>
    </w:p>
    <w:p w:rsidR="00997A1B" w:rsidRPr="001307B6" w:rsidRDefault="00997A1B" w:rsidP="001307B6">
      <w:pPr>
        <w:jc w:val="both"/>
        <w:rPr>
          <w:u w:val="single"/>
        </w:rPr>
      </w:pPr>
      <w:r w:rsidRPr="001307B6">
        <w:rPr>
          <w:u w:val="single"/>
        </w:rPr>
        <w:t xml:space="preserve">Informar a sigla “MS” mais o número de registro no Ministério da Saúde conforme publicado em Diário Oficial da União (D.O.U.), sendo necessários os </w:t>
      </w:r>
      <w:proofErr w:type="gramStart"/>
      <w:r w:rsidRPr="001307B6">
        <w:rPr>
          <w:u w:val="single"/>
        </w:rPr>
        <w:t>9</w:t>
      </w:r>
      <w:proofErr w:type="gramEnd"/>
      <w:r w:rsidRPr="001307B6">
        <w:rPr>
          <w:u w:val="single"/>
        </w:rPr>
        <w:t xml:space="preserve"> (nove) dígitos iniciais.</w:t>
      </w:r>
    </w:p>
    <w:p w:rsidR="00997A1B" w:rsidRPr="001307B6" w:rsidRDefault="00997A1B" w:rsidP="001307B6">
      <w:pPr>
        <w:jc w:val="both"/>
        <w:rPr>
          <w:u w:val="single"/>
        </w:rPr>
      </w:pPr>
      <w:r w:rsidRPr="001307B6">
        <w:rPr>
          <w:u w:val="single"/>
        </w:rPr>
        <w:t>Informar o nome, número de inscrição e sigla do Conselho Regional de Farmácia do responsável técnico da empresa titular do registro.</w:t>
      </w:r>
    </w:p>
    <w:p w:rsidR="00997A1B" w:rsidRPr="001307B6" w:rsidRDefault="00997A1B" w:rsidP="001307B6">
      <w:pPr>
        <w:jc w:val="both"/>
        <w:rPr>
          <w:u w:val="single"/>
        </w:rPr>
      </w:pPr>
      <w:r w:rsidRPr="001307B6">
        <w:rPr>
          <w:u w:val="single"/>
        </w:rPr>
        <w:t>Informar o nome e endereço da empresa titular do registro no Brasil. </w:t>
      </w:r>
      <w:r w:rsidRPr="001307B6">
        <w:rPr>
          <w:u w:val="single"/>
        </w:rPr>
        <w:cr/>
        <w:t>Informar o número do Cadastro Nacional de Pessoa Jurídica (CNPJ) do titular do registro.</w:t>
      </w:r>
    </w:p>
    <w:p w:rsidR="00997A1B" w:rsidRPr="001307B6" w:rsidRDefault="00997A1B" w:rsidP="001307B6">
      <w:pPr>
        <w:jc w:val="both"/>
        <w:rPr>
          <w:u w:val="single"/>
        </w:rPr>
      </w:pPr>
      <w:r w:rsidRPr="001307B6">
        <w:rPr>
          <w:u w:val="single"/>
        </w:rPr>
        <w:t>Inserir a expressão “Indústria Brasileira”, quando aplicável.</w:t>
      </w:r>
    </w:p>
    <w:p w:rsidR="00997A1B" w:rsidRPr="001307B6" w:rsidRDefault="00997A1B" w:rsidP="001307B6">
      <w:pPr>
        <w:jc w:val="both"/>
        <w:rPr>
          <w:u w:val="single"/>
        </w:rPr>
      </w:pPr>
      <w:r w:rsidRPr="001307B6">
        <w:rPr>
          <w:u w:val="single"/>
        </w:rPr>
        <w:t xml:space="preserve">Informar o telefone do Serviço de Atendimento ao Consumidor (SAC), de responsabilidade </w:t>
      </w:r>
      <w:proofErr w:type="gramStart"/>
      <w:r w:rsidRPr="001307B6">
        <w:rPr>
          <w:u w:val="single"/>
        </w:rPr>
        <w:t>da empresa titular</w:t>
      </w:r>
      <w:proofErr w:type="gramEnd"/>
      <w:r w:rsidRPr="001307B6">
        <w:rPr>
          <w:u w:val="single"/>
        </w:rPr>
        <w:t xml:space="preserve"> do registro.</w:t>
      </w:r>
    </w:p>
    <w:p w:rsidR="00997A1B" w:rsidRPr="001307B6" w:rsidRDefault="00997A1B" w:rsidP="001307B6">
      <w:pPr>
        <w:jc w:val="both"/>
        <w:rPr>
          <w:u w:val="single"/>
        </w:rPr>
      </w:pPr>
      <w:r w:rsidRPr="001307B6">
        <w:rPr>
          <w:u w:val="single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1307B6">
        <w:rPr>
          <w:u w:val="single"/>
        </w:rPr>
        <w:t>frase “Fabricado</w:t>
      </w:r>
      <w:proofErr w:type="gramEnd"/>
      <w:r w:rsidRPr="001307B6">
        <w:rPr>
          <w:u w:val="single"/>
        </w:rPr>
        <w:t xml:space="preserve"> por:” e inserindo a frase “Registrado por:” antes dos dados da detentora do registro.</w:t>
      </w:r>
    </w:p>
    <w:p w:rsidR="00997A1B" w:rsidRPr="001307B6" w:rsidRDefault="00997A1B" w:rsidP="001307B6">
      <w:pPr>
        <w:jc w:val="both"/>
        <w:rPr>
          <w:u w:val="single"/>
        </w:rPr>
      </w:pPr>
      <w:r w:rsidRPr="001307B6">
        <w:rPr>
          <w:u w:val="single"/>
        </w:rPr>
        <w:t xml:space="preserve">Informar o nome e endereço da empresa fabricante, quando o medicamento for importado, citando a cidade e o país precedidos pela </w:t>
      </w:r>
      <w:proofErr w:type="gramStart"/>
      <w:r w:rsidRPr="001307B6">
        <w:rPr>
          <w:u w:val="single"/>
        </w:rPr>
        <w:t>frase “Fabricado</w:t>
      </w:r>
      <w:proofErr w:type="gramEnd"/>
      <w:r w:rsidRPr="001307B6">
        <w:rPr>
          <w:u w:val="single"/>
        </w:rPr>
        <w:t xml:space="preserve"> por” e inserindo a frase “Importado por:” antes dos dados da empresa titular do registro.</w:t>
      </w:r>
    </w:p>
    <w:p w:rsidR="00997A1B" w:rsidRPr="001307B6" w:rsidRDefault="00997A1B" w:rsidP="001307B6">
      <w:pPr>
        <w:jc w:val="both"/>
        <w:rPr>
          <w:u w:val="single"/>
        </w:rPr>
      </w:pPr>
      <w:r w:rsidRPr="001307B6">
        <w:rPr>
          <w:u w:val="single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1307B6">
        <w:rPr>
          <w:u w:val="single"/>
        </w:rPr>
        <w:t>frase “Embalado</w:t>
      </w:r>
      <w:proofErr w:type="gramEnd"/>
      <w:r w:rsidRPr="001307B6">
        <w:rPr>
          <w:u w:val="single"/>
        </w:rPr>
        <w:t xml:space="preserve"> por:” e inserindo a frase “Registrado por:” ou “Importado por:”, conforme o caso, antes dos dados da empresa titular do registro;</w:t>
      </w:r>
    </w:p>
    <w:p w:rsidR="00997A1B" w:rsidRPr="001307B6" w:rsidRDefault="00997A1B" w:rsidP="001307B6">
      <w:pPr>
        <w:jc w:val="both"/>
        <w:rPr>
          <w:u w:val="single"/>
        </w:rPr>
      </w:pPr>
      <w:proofErr w:type="gramStart"/>
      <w:r w:rsidRPr="001307B6">
        <w:rPr>
          <w:u w:val="single"/>
        </w:rPr>
        <w:t>Informar,</w:t>
      </w:r>
      <w:proofErr w:type="gramEnd"/>
      <w:r w:rsidRPr="001307B6">
        <w:rPr>
          <w:u w:val="single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997A1B" w:rsidRDefault="00997A1B" w:rsidP="001307B6">
      <w:pPr>
        <w:jc w:val="both"/>
        <w:rPr>
          <w:u w:val="single"/>
        </w:rPr>
      </w:pPr>
      <w:r w:rsidRPr="001307B6">
        <w:rPr>
          <w:u w:val="single"/>
        </w:rPr>
        <w:t xml:space="preserve">É facultativo incluir a logomarca </w:t>
      </w:r>
      <w:proofErr w:type="gramStart"/>
      <w:r w:rsidRPr="001307B6">
        <w:rPr>
          <w:u w:val="single"/>
        </w:rPr>
        <w:t>da empresa farmacêutica titular</w:t>
      </w:r>
      <w:proofErr w:type="gramEnd"/>
      <w:r w:rsidRPr="001307B6">
        <w:rPr>
          <w:u w:val="single"/>
        </w:rPr>
        <w:t xml:space="preserve"> do registro, bem como das empresas fabricantes e responsáveis pela embalagem e comercialização do </w:t>
      </w:r>
      <w:r w:rsidRPr="001307B6">
        <w:rPr>
          <w:u w:val="single"/>
        </w:rPr>
        <w:lastRenderedPageBreak/>
        <w:t>medicamento, desde que não prejudiquem a presença das informações obrigatórias e estas empresas estejam devidamente identificadas nos dizeres legais.</w:t>
      </w:r>
    </w:p>
    <w:p w:rsidR="00997A1B" w:rsidRPr="001307B6" w:rsidRDefault="00997A1B" w:rsidP="001307B6">
      <w:pPr>
        <w:jc w:val="both"/>
      </w:pPr>
      <w:r w:rsidRPr="001307B6">
        <w:t>Siga corretamente o modo de usar, não desaparecendo os sintomas procure orientação médica. (</w:t>
      </w:r>
      <w:r w:rsidRPr="001307B6">
        <w:rPr>
          <w:u w:val="single"/>
        </w:rPr>
        <w:t>para os medicamentos vendidos sem exigência de prescrição médica</w:t>
      </w:r>
      <w:r w:rsidRPr="001307B6">
        <w:t>)</w:t>
      </w:r>
      <w:r w:rsidRPr="001307B6">
        <w:cr/>
        <w:t>Venda proibida ao comércio. (</w:t>
      </w:r>
      <w:r w:rsidRPr="001307B6">
        <w:rPr>
          <w:u w:val="single"/>
        </w:rPr>
        <w:t>para os medicamentos com destinação institucional</w:t>
      </w:r>
      <w:r w:rsidRPr="001307B6">
        <w:t>)</w:t>
      </w:r>
    </w:p>
    <w:p w:rsidR="002220E6" w:rsidRPr="001307B6" w:rsidRDefault="00997A1B" w:rsidP="001307B6">
      <w:pPr>
        <w:tabs>
          <w:tab w:val="left" w:pos="2700"/>
        </w:tabs>
        <w:jc w:val="both"/>
        <w:rPr>
          <w:u w:val="single"/>
        </w:rPr>
      </w:pPr>
      <w:r w:rsidRPr="001307B6">
        <w:rPr>
          <w:b/>
        </w:rPr>
        <w:t xml:space="preserve">Esta bula foi atualizada conforme Bula Padrão aprovada pela </w:t>
      </w:r>
      <w:proofErr w:type="gramStart"/>
      <w:r w:rsidRPr="001307B6">
        <w:rPr>
          <w:b/>
        </w:rPr>
        <w:t>Anvisa</w:t>
      </w:r>
      <w:proofErr w:type="gramEnd"/>
      <w:r w:rsidRPr="001307B6">
        <w:rPr>
          <w:b/>
        </w:rPr>
        <w:t xml:space="preserve"> em (dia/mês/ano)</w:t>
      </w:r>
      <w:r w:rsidRPr="001307B6">
        <w:t xml:space="preserve"> (</w:t>
      </w:r>
      <w:r w:rsidRPr="001307B6">
        <w:rPr>
          <w:u w:val="single"/>
        </w:rPr>
        <w:t xml:space="preserve">informando a data de publicação da respectiva Bula Padrão no </w:t>
      </w:r>
      <w:proofErr w:type="spellStart"/>
      <w:r w:rsidRPr="001307B6">
        <w:rPr>
          <w:u w:val="single"/>
        </w:rPr>
        <w:t>Bulário</w:t>
      </w:r>
      <w:proofErr w:type="spellEnd"/>
      <w:r w:rsidRPr="001307B6">
        <w:rPr>
          <w:u w:val="single"/>
        </w:rPr>
        <w:t xml:space="preserve"> Eletrônico com a qual a bula foi harmonizada e/ou atualizada) </w:t>
      </w:r>
    </w:p>
    <w:p w:rsidR="009C379E" w:rsidRDefault="00997A1B" w:rsidP="001307B6">
      <w:pPr>
        <w:jc w:val="both"/>
      </w:pPr>
      <w:r w:rsidRPr="001307B6">
        <w:rPr>
          <w:u w:val="single"/>
        </w:rPr>
        <w:t>Incluir símbolo da reciclagem de papel</w:t>
      </w:r>
      <w:r w:rsidRPr="001307B6">
        <w:t>.</w:t>
      </w:r>
    </w:p>
    <w:p w:rsidR="001307B6" w:rsidRPr="001307B6" w:rsidRDefault="001307B6" w:rsidP="001307B6">
      <w:pPr>
        <w:jc w:val="both"/>
      </w:pPr>
    </w:p>
    <w:p w:rsidR="009C379E" w:rsidRDefault="009C379E" w:rsidP="001307B6">
      <w:pPr>
        <w:jc w:val="both"/>
        <w:rPr>
          <w:b/>
          <w:u w:val="single"/>
        </w:rPr>
      </w:pPr>
      <w:r w:rsidRPr="001307B6">
        <w:rPr>
          <w:b/>
          <w:u w:val="single"/>
        </w:rPr>
        <w:t>REFERÊNCIAS BIBLIOGRÁFICAS</w:t>
      </w:r>
    </w:p>
    <w:p w:rsidR="00EE7F4E" w:rsidRDefault="00EE7F4E" w:rsidP="001307B6">
      <w:pPr>
        <w:jc w:val="both"/>
        <w:rPr>
          <w:b/>
          <w:u w:val="single"/>
        </w:rPr>
      </w:pPr>
    </w:p>
    <w:p w:rsidR="009C379E" w:rsidRPr="001307B6" w:rsidRDefault="009C379E" w:rsidP="001307B6">
      <w:pPr>
        <w:jc w:val="both"/>
        <w:rPr>
          <w:u w:val="single"/>
          <w:lang w:val="en-US"/>
        </w:rPr>
      </w:pPr>
      <w:r w:rsidRPr="001307B6">
        <w:rPr>
          <w:u w:val="single"/>
        </w:rPr>
        <w:t xml:space="preserve">ALONSO, J. R. </w:t>
      </w:r>
      <w:r w:rsidRPr="001307B6">
        <w:rPr>
          <w:i/>
          <w:u w:val="single"/>
        </w:rPr>
        <w:t xml:space="preserve">Tratado de </w:t>
      </w:r>
      <w:proofErr w:type="spellStart"/>
      <w:r w:rsidRPr="001307B6">
        <w:rPr>
          <w:i/>
          <w:u w:val="single"/>
        </w:rPr>
        <w:t>Fitomedicina</w:t>
      </w:r>
      <w:proofErr w:type="spellEnd"/>
      <w:r w:rsidRPr="001307B6">
        <w:rPr>
          <w:i/>
          <w:u w:val="single"/>
        </w:rPr>
        <w:t>: bases clínicas e farmacológicas</w:t>
      </w:r>
      <w:r w:rsidRPr="001307B6">
        <w:rPr>
          <w:u w:val="single"/>
        </w:rPr>
        <w:t xml:space="preserve">. </w:t>
      </w:r>
      <w:r w:rsidRPr="001307B6">
        <w:rPr>
          <w:u w:val="single"/>
          <w:lang w:val="en-US"/>
        </w:rPr>
        <w:t xml:space="preserve">Argentina: Isis </w:t>
      </w:r>
      <w:proofErr w:type="spellStart"/>
      <w:r w:rsidRPr="001307B6">
        <w:rPr>
          <w:u w:val="single"/>
          <w:lang w:val="en-US"/>
        </w:rPr>
        <w:t>Ediciones</w:t>
      </w:r>
      <w:proofErr w:type="spellEnd"/>
      <w:r w:rsidRPr="001307B6">
        <w:rPr>
          <w:u w:val="single"/>
          <w:lang w:val="en-US"/>
        </w:rPr>
        <w:t xml:space="preserve"> SRL, 1998.</w:t>
      </w:r>
    </w:p>
    <w:p w:rsidR="00306899" w:rsidRPr="001307B6" w:rsidRDefault="009C379E" w:rsidP="001307B6">
      <w:pPr>
        <w:jc w:val="both"/>
        <w:rPr>
          <w:u w:val="single"/>
          <w:lang w:val="en-US"/>
        </w:rPr>
      </w:pPr>
      <w:proofErr w:type="gramStart"/>
      <w:r w:rsidRPr="001307B6">
        <w:rPr>
          <w:u w:val="single"/>
          <w:lang w:val="en-US"/>
        </w:rPr>
        <w:t xml:space="preserve">BLUMENTHAL et al. </w:t>
      </w:r>
      <w:r w:rsidRPr="001307B6">
        <w:rPr>
          <w:i/>
          <w:u w:val="single"/>
          <w:lang w:val="en-US"/>
        </w:rPr>
        <w:t>Therapeutic Guide to Herbal Medicines</w:t>
      </w:r>
      <w:r w:rsidRPr="001307B6">
        <w:rPr>
          <w:u w:val="single"/>
          <w:lang w:val="en-US"/>
        </w:rPr>
        <w:t>.</w:t>
      </w:r>
      <w:proofErr w:type="gramEnd"/>
      <w:r w:rsidRPr="001307B6">
        <w:rPr>
          <w:u w:val="single"/>
          <w:lang w:val="en-US"/>
        </w:rPr>
        <w:t xml:space="preserve"> </w:t>
      </w:r>
      <w:proofErr w:type="gramStart"/>
      <w:r w:rsidRPr="001307B6">
        <w:rPr>
          <w:u w:val="single"/>
          <w:lang w:val="en-US"/>
        </w:rPr>
        <w:t>Massachusetts, 1998.</w:t>
      </w:r>
      <w:proofErr w:type="gramEnd"/>
    </w:p>
    <w:p w:rsidR="009C379E" w:rsidRDefault="009C379E" w:rsidP="001307B6">
      <w:pPr>
        <w:jc w:val="both"/>
        <w:rPr>
          <w:u w:val="single"/>
          <w:lang w:val="en-US"/>
        </w:rPr>
      </w:pPr>
      <w:r w:rsidRPr="001307B6">
        <w:rPr>
          <w:u w:val="single"/>
          <w:lang w:val="en-US"/>
        </w:rPr>
        <w:t xml:space="preserve">BLUMENTHAL, M.; GOLDBERG, A.; BRINCKMANN, J. Herbal Medicine – Expanded </w:t>
      </w:r>
      <w:proofErr w:type="spellStart"/>
      <w:r w:rsidRPr="001307B6">
        <w:rPr>
          <w:u w:val="single"/>
          <w:lang w:val="en-US"/>
        </w:rPr>
        <w:t>Comission</w:t>
      </w:r>
      <w:proofErr w:type="spellEnd"/>
      <w:r w:rsidRPr="001307B6">
        <w:rPr>
          <w:u w:val="single"/>
          <w:lang w:val="en-US"/>
        </w:rPr>
        <w:t xml:space="preserve"> E Monographs. Austin, TX: American Botanical Council; Bost</w:t>
      </w:r>
      <w:r w:rsidR="00306899" w:rsidRPr="001307B6">
        <w:rPr>
          <w:u w:val="single"/>
          <w:lang w:val="en-US"/>
        </w:rPr>
        <w:t>o</w:t>
      </w:r>
      <w:r w:rsidRPr="001307B6">
        <w:rPr>
          <w:u w:val="single"/>
          <w:lang w:val="en-US"/>
        </w:rPr>
        <w:t>n, 2000.</w:t>
      </w:r>
    </w:p>
    <w:p w:rsidR="00C176D4" w:rsidRPr="00D97EF4" w:rsidRDefault="00D97EF4" w:rsidP="001307B6">
      <w:pPr>
        <w:jc w:val="both"/>
        <w:rPr>
          <w:u w:val="single"/>
          <w:lang w:val="en-US"/>
        </w:rPr>
      </w:pPr>
      <w:proofErr w:type="gramStart"/>
      <w:r w:rsidRPr="00D97EF4">
        <w:rPr>
          <w:color w:val="000000"/>
          <w:lang w:val="en-US"/>
        </w:rPr>
        <w:t>BORKJE</w:t>
      </w:r>
      <w:r w:rsidR="007F23B7">
        <w:rPr>
          <w:color w:val="000000"/>
          <w:lang w:val="en-US"/>
        </w:rPr>
        <w:t xml:space="preserve"> </w:t>
      </w:r>
      <w:r w:rsidR="004348A1" w:rsidRPr="00D97EF4">
        <w:rPr>
          <w:i/>
          <w:color w:val="000000"/>
          <w:lang w:val="en-US"/>
        </w:rPr>
        <w:t>et al</w:t>
      </w:r>
      <w:r w:rsidR="004348A1" w:rsidRPr="00D97EF4">
        <w:rPr>
          <w:color w:val="000000"/>
          <w:lang w:val="en-US"/>
        </w:rPr>
        <w:t>. Effectiveness and acceptability of three bowel cleansing regimens.</w:t>
      </w:r>
      <w:proofErr w:type="gramEnd"/>
      <w:r w:rsidR="004348A1" w:rsidRPr="00D97EF4">
        <w:rPr>
          <w:color w:val="000000"/>
          <w:lang w:val="en-US"/>
        </w:rPr>
        <w:t xml:space="preserve"> </w:t>
      </w:r>
      <w:r w:rsidR="00C176D4" w:rsidRPr="00D97EF4">
        <w:rPr>
          <w:color w:val="000000"/>
          <w:lang w:val="en-US"/>
        </w:rPr>
        <w:t>Scand</w:t>
      </w:r>
      <w:r>
        <w:rPr>
          <w:color w:val="000000"/>
          <w:lang w:val="en-US"/>
        </w:rPr>
        <w:t>inavian</w:t>
      </w:r>
      <w:r w:rsidR="00C176D4" w:rsidRPr="00D97EF4">
        <w:rPr>
          <w:color w:val="000000"/>
          <w:lang w:val="en-US"/>
        </w:rPr>
        <w:t xml:space="preserve"> J</w:t>
      </w:r>
      <w:r>
        <w:rPr>
          <w:color w:val="000000"/>
          <w:lang w:val="en-US"/>
        </w:rPr>
        <w:t>ournal of</w:t>
      </w:r>
      <w:r w:rsidR="00C176D4" w:rsidRPr="00D97EF4">
        <w:rPr>
          <w:color w:val="000000"/>
          <w:lang w:val="en-US"/>
        </w:rPr>
        <w:t xml:space="preserve"> Gastroenterol</w:t>
      </w:r>
      <w:r>
        <w:rPr>
          <w:color w:val="000000"/>
          <w:lang w:val="en-US"/>
        </w:rPr>
        <w:t>ogy</w:t>
      </w:r>
      <w:r w:rsidR="00ED2D97">
        <w:rPr>
          <w:color w:val="000000"/>
          <w:lang w:val="en-US"/>
        </w:rPr>
        <w:t xml:space="preserve"> 1991</w:t>
      </w:r>
      <w:r w:rsidR="00C176D4" w:rsidRPr="00D97EF4">
        <w:rPr>
          <w:color w:val="000000"/>
          <w:lang w:val="en-US"/>
        </w:rPr>
        <w:t>;</w:t>
      </w:r>
      <w:r>
        <w:rPr>
          <w:color w:val="000000"/>
          <w:lang w:val="en-US"/>
        </w:rPr>
        <w:t xml:space="preserve"> </w:t>
      </w:r>
      <w:r w:rsidR="00C176D4" w:rsidRPr="00D97EF4">
        <w:rPr>
          <w:color w:val="000000"/>
          <w:lang w:val="en-US"/>
        </w:rPr>
        <w:t>26(2):162-166.</w:t>
      </w:r>
    </w:p>
    <w:p w:rsidR="009C379E" w:rsidRPr="001307B6" w:rsidRDefault="009C379E" w:rsidP="001307B6">
      <w:pPr>
        <w:jc w:val="both"/>
        <w:rPr>
          <w:u w:val="single"/>
          <w:lang w:val="en-US"/>
        </w:rPr>
      </w:pPr>
      <w:bookmarkStart w:id="1" w:name="OLE_LINK3"/>
      <w:bookmarkStart w:id="2" w:name="OLE_LINK4"/>
      <w:r w:rsidRPr="001307B6">
        <w:rPr>
          <w:u w:val="single"/>
          <w:lang w:val="en-US"/>
        </w:rPr>
        <w:t xml:space="preserve">BRADLEY, P. R. </w:t>
      </w:r>
      <w:bookmarkEnd w:id="1"/>
      <w:bookmarkEnd w:id="2"/>
      <w:r w:rsidRPr="001307B6">
        <w:rPr>
          <w:i/>
          <w:u w:val="single"/>
          <w:lang w:val="en-US"/>
        </w:rPr>
        <w:t>British Herbal Compendium</w:t>
      </w:r>
      <w:r w:rsidR="001F3196" w:rsidRPr="001307B6">
        <w:rPr>
          <w:u w:val="single"/>
          <w:lang w:val="en-US"/>
        </w:rPr>
        <w:t xml:space="preserve">. </w:t>
      </w:r>
      <w:r w:rsidRPr="001307B6">
        <w:rPr>
          <w:u w:val="single"/>
          <w:lang w:val="en-US"/>
        </w:rPr>
        <w:t xml:space="preserve">V.1. </w:t>
      </w:r>
      <w:proofErr w:type="spellStart"/>
      <w:r w:rsidRPr="001307B6">
        <w:rPr>
          <w:u w:val="single"/>
          <w:lang w:val="en-US"/>
        </w:rPr>
        <w:t>Grã</w:t>
      </w:r>
      <w:proofErr w:type="spellEnd"/>
      <w:r w:rsidRPr="001307B6">
        <w:rPr>
          <w:u w:val="single"/>
          <w:lang w:val="en-US"/>
        </w:rPr>
        <w:t xml:space="preserve">- </w:t>
      </w:r>
      <w:proofErr w:type="spellStart"/>
      <w:r w:rsidRPr="001307B6">
        <w:rPr>
          <w:u w:val="single"/>
          <w:lang w:val="en-US"/>
        </w:rPr>
        <w:t>Bretanha</w:t>
      </w:r>
      <w:proofErr w:type="spellEnd"/>
      <w:r w:rsidRPr="001307B6">
        <w:rPr>
          <w:u w:val="single"/>
          <w:lang w:val="en-US"/>
        </w:rPr>
        <w:t xml:space="preserve">: </w:t>
      </w:r>
      <w:proofErr w:type="spellStart"/>
      <w:r w:rsidRPr="001307B6">
        <w:rPr>
          <w:u w:val="single"/>
          <w:lang w:val="en-US"/>
        </w:rPr>
        <w:t>Biddles</w:t>
      </w:r>
      <w:proofErr w:type="spellEnd"/>
      <w:r w:rsidRPr="001307B6">
        <w:rPr>
          <w:u w:val="single"/>
          <w:lang w:val="en-US"/>
        </w:rPr>
        <w:t xml:space="preserve"> </w:t>
      </w:r>
      <w:proofErr w:type="spellStart"/>
      <w:r w:rsidRPr="001307B6">
        <w:rPr>
          <w:u w:val="single"/>
          <w:lang w:val="en-US"/>
        </w:rPr>
        <w:t>Ltda</w:t>
      </w:r>
      <w:proofErr w:type="spellEnd"/>
      <w:r w:rsidRPr="001307B6">
        <w:rPr>
          <w:u w:val="single"/>
          <w:lang w:val="en-US"/>
        </w:rPr>
        <w:t>, Guilford and King’s Lynn, 1992.</w:t>
      </w:r>
    </w:p>
    <w:p w:rsidR="009C379E" w:rsidRPr="001307B6" w:rsidRDefault="009C379E" w:rsidP="001307B6">
      <w:pPr>
        <w:jc w:val="both"/>
        <w:rPr>
          <w:u w:val="single"/>
          <w:lang w:val="en-US"/>
        </w:rPr>
      </w:pPr>
      <w:proofErr w:type="gramStart"/>
      <w:r w:rsidRPr="001307B6">
        <w:rPr>
          <w:u w:val="single"/>
          <w:lang w:val="en-US"/>
        </w:rPr>
        <w:t>EUROPEAN SCIENTIFIC COOPERATIVE ON PHYTOTERAPY (ESCOP).</w:t>
      </w:r>
      <w:proofErr w:type="gramEnd"/>
      <w:r w:rsidRPr="001307B6">
        <w:rPr>
          <w:u w:val="single"/>
          <w:lang w:val="en-US"/>
        </w:rPr>
        <w:t xml:space="preserve"> Monographs: The Scientific Foundation for Herbal Medicinal Products. 2 ed. Exeter, UK: European Scientific Cooperative on </w:t>
      </w:r>
      <w:proofErr w:type="spellStart"/>
      <w:r w:rsidRPr="001307B6">
        <w:rPr>
          <w:u w:val="single"/>
          <w:lang w:val="en-US"/>
        </w:rPr>
        <w:t>Phytoterapy</w:t>
      </w:r>
      <w:proofErr w:type="spellEnd"/>
      <w:r w:rsidRPr="001307B6">
        <w:rPr>
          <w:u w:val="single"/>
          <w:lang w:val="en-US"/>
        </w:rPr>
        <w:t xml:space="preserve"> and </w:t>
      </w:r>
      <w:proofErr w:type="spellStart"/>
      <w:r w:rsidRPr="001307B6">
        <w:rPr>
          <w:u w:val="single"/>
          <w:lang w:val="en-US"/>
        </w:rPr>
        <w:t>Thieme</w:t>
      </w:r>
      <w:proofErr w:type="spellEnd"/>
      <w:r w:rsidRPr="001307B6">
        <w:rPr>
          <w:u w:val="single"/>
          <w:lang w:val="en-US"/>
        </w:rPr>
        <w:t>, 2003</w:t>
      </w:r>
    </w:p>
    <w:p w:rsidR="009C379E" w:rsidRPr="001307B6" w:rsidRDefault="009C379E" w:rsidP="001307B6">
      <w:pPr>
        <w:jc w:val="both"/>
        <w:rPr>
          <w:u w:val="single"/>
          <w:lang w:val="en-US"/>
        </w:rPr>
      </w:pPr>
      <w:r w:rsidRPr="001307B6">
        <w:rPr>
          <w:u w:val="single"/>
          <w:lang w:val="es-MX"/>
        </w:rPr>
        <w:t xml:space="preserve">MASSON. </w:t>
      </w:r>
      <w:r w:rsidRPr="001307B6">
        <w:rPr>
          <w:i/>
          <w:u w:val="single"/>
          <w:lang w:val="es-MX"/>
        </w:rPr>
        <w:t>Vademécum de Prescripción: plantas medicinales</w:t>
      </w:r>
      <w:r w:rsidRPr="001307B6">
        <w:rPr>
          <w:u w:val="single"/>
          <w:lang w:val="es-MX"/>
        </w:rPr>
        <w:t xml:space="preserve">. </w:t>
      </w:r>
      <w:proofErr w:type="gramStart"/>
      <w:r w:rsidRPr="001307B6">
        <w:rPr>
          <w:u w:val="single"/>
          <w:lang w:val="en-US"/>
        </w:rPr>
        <w:t>3</w:t>
      </w:r>
      <w:r w:rsidRPr="001307B6">
        <w:rPr>
          <w:u w:val="single"/>
          <w:vertAlign w:val="superscript"/>
          <w:lang w:val="en-US"/>
        </w:rPr>
        <w:t>o</w:t>
      </w:r>
      <w:r w:rsidRPr="001307B6">
        <w:rPr>
          <w:u w:val="single"/>
          <w:lang w:val="en-US"/>
        </w:rPr>
        <w:t>ed. Barcelona, 1998.</w:t>
      </w:r>
      <w:proofErr w:type="gramEnd"/>
    </w:p>
    <w:p w:rsidR="009C379E" w:rsidRDefault="009C379E" w:rsidP="001307B6">
      <w:pPr>
        <w:jc w:val="both"/>
        <w:rPr>
          <w:u w:val="single"/>
          <w:lang w:val="en-US"/>
        </w:rPr>
      </w:pPr>
      <w:r w:rsidRPr="001307B6">
        <w:rPr>
          <w:u w:val="single"/>
          <w:lang w:val="en-US"/>
        </w:rPr>
        <w:t xml:space="preserve">NEWALL, C. </w:t>
      </w:r>
      <w:proofErr w:type="gramStart"/>
      <w:r w:rsidRPr="001307B6">
        <w:rPr>
          <w:u w:val="single"/>
          <w:lang w:val="en-US"/>
        </w:rPr>
        <w:t>A; ANDERSON, L.</w:t>
      </w:r>
      <w:proofErr w:type="gramEnd"/>
      <w:r w:rsidRPr="001307B6">
        <w:rPr>
          <w:u w:val="single"/>
          <w:lang w:val="en-US"/>
        </w:rPr>
        <w:t xml:space="preserve"> A; PHILLIPSON, J. D. </w:t>
      </w:r>
      <w:r w:rsidRPr="001307B6">
        <w:rPr>
          <w:i/>
          <w:u w:val="single"/>
          <w:lang w:val="en-US"/>
        </w:rPr>
        <w:t>Herbal Medicines: a Guide for Health Care Professionals</w:t>
      </w:r>
      <w:r w:rsidRPr="001307B6">
        <w:rPr>
          <w:u w:val="single"/>
          <w:lang w:val="en-US"/>
        </w:rPr>
        <w:t>. London: The Pharmaceutical Press, 1996.</w:t>
      </w:r>
    </w:p>
    <w:p w:rsidR="00821FB3" w:rsidRPr="001307B6" w:rsidRDefault="00821FB3" w:rsidP="00821FB3">
      <w:pPr>
        <w:autoSpaceDE w:val="0"/>
        <w:autoSpaceDN w:val="0"/>
        <w:adjustRightInd w:val="0"/>
        <w:jc w:val="both"/>
        <w:rPr>
          <w:u w:val="single"/>
          <w:lang w:val="en-US"/>
        </w:rPr>
      </w:pPr>
      <w:proofErr w:type="gramStart"/>
      <w:r w:rsidRPr="00CC473A">
        <w:rPr>
          <w:u w:val="single"/>
          <w:lang w:val="en-US"/>
        </w:rPr>
        <w:t xml:space="preserve">WESTENDORF </w:t>
      </w:r>
      <w:r w:rsidRPr="00CC473A">
        <w:rPr>
          <w:i/>
          <w:u w:val="single"/>
          <w:lang w:val="en-US"/>
        </w:rPr>
        <w:t>et al</w:t>
      </w:r>
      <w:r w:rsidRPr="00CC473A">
        <w:rPr>
          <w:u w:val="single"/>
          <w:lang w:val="en-US"/>
        </w:rPr>
        <w:t xml:space="preserve">. Possible carcinogenicity of </w:t>
      </w:r>
      <w:proofErr w:type="spellStart"/>
      <w:r w:rsidRPr="00CC473A">
        <w:rPr>
          <w:u w:val="single"/>
          <w:lang w:val="en-US"/>
        </w:rPr>
        <w:t>anthraquinone</w:t>
      </w:r>
      <w:proofErr w:type="spellEnd"/>
      <w:r w:rsidRPr="00CC473A">
        <w:rPr>
          <w:u w:val="single"/>
          <w:lang w:val="en-US"/>
        </w:rPr>
        <w:t xml:space="preserve"> containing medicinal plants.</w:t>
      </w:r>
      <w:proofErr w:type="gramEnd"/>
      <w:r w:rsidRPr="00CC473A">
        <w:rPr>
          <w:u w:val="single"/>
          <w:lang w:val="en-US"/>
        </w:rPr>
        <w:t xml:space="preserve"> </w:t>
      </w:r>
      <w:proofErr w:type="spellStart"/>
      <w:proofErr w:type="gramStart"/>
      <w:r w:rsidRPr="00CC473A">
        <w:rPr>
          <w:u w:val="single"/>
          <w:lang w:val="en-US"/>
        </w:rPr>
        <w:t>Planta</w:t>
      </w:r>
      <w:proofErr w:type="spellEnd"/>
      <w:r w:rsidRPr="00CC473A">
        <w:rPr>
          <w:u w:val="single"/>
          <w:lang w:val="en-US"/>
        </w:rPr>
        <w:t xml:space="preserve"> </w:t>
      </w:r>
      <w:proofErr w:type="spellStart"/>
      <w:r w:rsidRPr="00CC473A">
        <w:rPr>
          <w:u w:val="single"/>
          <w:lang w:val="en-US"/>
        </w:rPr>
        <w:t>Medica</w:t>
      </w:r>
      <w:proofErr w:type="spellEnd"/>
      <w:r w:rsidRPr="00CC473A">
        <w:rPr>
          <w:u w:val="single"/>
          <w:lang w:val="en-US"/>
        </w:rPr>
        <w:t xml:space="preserve"> 1998; 54: 562-563.</w:t>
      </w:r>
      <w:proofErr w:type="gramEnd"/>
    </w:p>
    <w:p w:rsidR="009C379E" w:rsidRPr="001307B6" w:rsidRDefault="001F3196" w:rsidP="001307B6">
      <w:pPr>
        <w:jc w:val="both"/>
        <w:rPr>
          <w:u w:val="single"/>
          <w:lang w:val="en-US"/>
        </w:rPr>
      </w:pPr>
      <w:proofErr w:type="gramStart"/>
      <w:r w:rsidRPr="001307B6">
        <w:rPr>
          <w:u w:val="single"/>
          <w:lang w:val="en-US"/>
        </w:rPr>
        <w:t>WORLD HEALTH ORGANIZATION</w:t>
      </w:r>
      <w:r w:rsidR="009C379E" w:rsidRPr="001307B6">
        <w:rPr>
          <w:u w:val="single"/>
          <w:lang w:val="en-US"/>
        </w:rPr>
        <w:t>.</w:t>
      </w:r>
      <w:proofErr w:type="gramEnd"/>
      <w:r w:rsidR="009C379E" w:rsidRPr="001307B6">
        <w:rPr>
          <w:u w:val="single"/>
          <w:lang w:val="en-US"/>
        </w:rPr>
        <w:t xml:space="preserve"> </w:t>
      </w:r>
      <w:r w:rsidR="009C379E" w:rsidRPr="001307B6">
        <w:rPr>
          <w:i/>
          <w:u w:val="single"/>
          <w:lang w:val="en-US"/>
        </w:rPr>
        <w:t>Monographs on Selected Medicinal Plants</w:t>
      </w:r>
      <w:r w:rsidR="009C379E" w:rsidRPr="001307B6">
        <w:rPr>
          <w:u w:val="single"/>
          <w:lang w:val="en-US"/>
        </w:rPr>
        <w:t>: Geneva, 1999.</w:t>
      </w:r>
    </w:p>
    <w:p w:rsidR="009C379E" w:rsidRPr="001307B6" w:rsidRDefault="009C379E" w:rsidP="001307B6">
      <w:pPr>
        <w:jc w:val="both"/>
        <w:rPr>
          <w:u w:val="single"/>
          <w:lang w:val="en-US"/>
        </w:rPr>
      </w:pPr>
      <w:proofErr w:type="gramStart"/>
      <w:r w:rsidRPr="001307B6">
        <w:rPr>
          <w:u w:val="single"/>
          <w:lang w:val="en-US"/>
        </w:rPr>
        <w:t>WORLD HEALTH ORGANIZATION.</w:t>
      </w:r>
      <w:proofErr w:type="gramEnd"/>
      <w:r w:rsidRPr="001307B6">
        <w:rPr>
          <w:u w:val="single"/>
          <w:lang w:val="en-US"/>
        </w:rPr>
        <w:t xml:space="preserve"> Monographs on Selected Medicinal Plants; Geneva, 2002.</w:t>
      </w:r>
    </w:p>
    <w:p w:rsidR="009C379E" w:rsidRPr="00306899" w:rsidRDefault="009C379E" w:rsidP="00306899">
      <w:pPr>
        <w:jc w:val="both"/>
        <w:rPr>
          <w:u w:val="single"/>
          <w:lang w:val="en-US"/>
        </w:rPr>
      </w:pPr>
    </w:p>
    <w:p w:rsidR="009C379E" w:rsidRPr="004409AE" w:rsidRDefault="009C379E" w:rsidP="00306899">
      <w:pPr>
        <w:rPr>
          <w:u w:val="single"/>
          <w:lang w:val="en-US"/>
        </w:rPr>
      </w:pPr>
    </w:p>
    <w:p w:rsidR="00D83590" w:rsidRPr="009C379E" w:rsidRDefault="00DF7493" w:rsidP="00306899">
      <w:pPr>
        <w:rPr>
          <w:lang w:val="en-US"/>
        </w:rPr>
      </w:pPr>
    </w:p>
    <w:sectPr w:rsidR="00D83590" w:rsidRPr="009C379E" w:rsidSect="007F0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1CD6"/>
    <w:multiLevelType w:val="hybridMultilevel"/>
    <w:tmpl w:val="B5C6E2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79E"/>
    <w:rsid w:val="00025295"/>
    <w:rsid w:val="000440F2"/>
    <w:rsid w:val="000A709A"/>
    <w:rsid w:val="000E2AAB"/>
    <w:rsid w:val="001307B6"/>
    <w:rsid w:val="00142B05"/>
    <w:rsid w:val="001F3196"/>
    <w:rsid w:val="002220E6"/>
    <w:rsid w:val="00306899"/>
    <w:rsid w:val="00336510"/>
    <w:rsid w:val="003B439F"/>
    <w:rsid w:val="00410C00"/>
    <w:rsid w:val="004348A1"/>
    <w:rsid w:val="004B08A9"/>
    <w:rsid w:val="00573444"/>
    <w:rsid w:val="005C2131"/>
    <w:rsid w:val="005C4B3C"/>
    <w:rsid w:val="006239CD"/>
    <w:rsid w:val="006F7D31"/>
    <w:rsid w:val="007E4B07"/>
    <w:rsid w:val="007F0F03"/>
    <w:rsid w:val="007F23B7"/>
    <w:rsid w:val="00821FB3"/>
    <w:rsid w:val="00834271"/>
    <w:rsid w:val="008D6FDB"/>
    <w:rsid w:val="0090282D"/>
    <w:rsid w:val="0092135E"/>
    <w:rsid w:val="00976C96"/>
    <w:rsid w:val="009800E0"/>
    <w:rsid w:val="00997A1B"/>
    <w:rsid w:val="009B48A2"/>
    <w:rsid w:val="009C116A"/>
    <w:rsid w:val="009C379E"/>
    <w:rsid w:val="00B0458E"/>
    <w:rsid w:val="00B90CC3"/>
    <w:rsid w:val="00B97344"/>
    <w:rsid w:val="00BF5D60"/>
    <w:rsid w:val="00C0776E"/>
    <w:rsid w:val="00C176D4"/>
    <w:rsid w:val="00C424F9"/>
    <w:rsid w:val="00C73BC6"/>
    <w:rsid w:val="00D97EF4"/>
    <w:rsid w:val="00DC7EED"/>
    <w:rsid w:val="00DF7493"/>
    <w:rsid w:val="00E377A4"/>
    <w:rsid w:val="00E40661"/>
    <w:rsid w:val="00ED2D95"/>
    <w:rsid w:val="00ED2D97"/>
    <w:rsid w:val="00EE7F4E"/>
    <w:rsid w:val="00F31A1F"/>
    <w:rsid w:val="00F90F39"/>
    <w:rsid w:val="00FA70C4"/>
    <w:rsid w:val="00FA77E9"/>
    <w:rsid w:val="00FC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C379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EstiloDeEmail16">
    <w:name w:val="EstiloDeEmail16"/>
    <w:basedOn w:val="Fontepargpadro"/>
    <w:semiHidden/>
    <w:rsid w:val="009C379E"/>
    <w:rPr>
      <w:rFonts w:ascii="Arial" w:hAnsi="Arial" w:cs="Arial"/>
      <w:color w:val="auto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045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45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45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45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458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5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58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90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C379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EstiloDeEmail16">
    <w:name w:val="EstiloDeEmail16"/>
    <w:basedOn w:val="Fontepargpadro"/>
    <w:semiHidden/>
    <w:rsid w:val="009C379E"/>
    <w:rPr>
      <w:rFonts w:ascii="Arial" w:hAnsi="Arial" w:cs="Arial"/>
      <w:color w:val="auto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045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45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45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45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458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5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58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2285</Words>
  <Characters>12341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Camila Miranda Moura</cp:lastModifiedBy>
  <cp:revision>40</cp:revision>
  <dcterms:created xsi:type="dcterms:W3CDTF">2014-06-12T12:24:00Z</dcterms:created>
  <dcterms:modified xsi:type="dcterms:W3CDTF">2014-07-22T19:02:00Z</dcterms:modified>
</cp:coreProperties>
</file>