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6" w:rsidRDefault="008347A6" w:rsidP="0019054D">
      <w:pPr>
        <w:jc w:val="both"/>
        <w:rPr>
          <w:b/>
          <w:bCs/>
        </w:rPr>
      </w:pPr>
      <w:r w:rsidRPr="0019054D">
        <w:rPr>
          <w:b/>
          <w:bCs/>
        </w:rPr>
        <w:t>IDENTIFICAÇÃO DO MEDICAMENTO</w:t>
      </w:r>
    </w:p>
    <w:p w:rsidR="00BE174D" w:rsidRDefault="00BE174D" w:rsidP="0019054D">
      <w:pPr>
        <w:jc w:val="both"/>
        <w:rPr>
          <w:b/>
          <w:bCs/>
        </w:rPr>
      </w:pPr>
    </w:p>
    <w:p w:rsidR="000B15A0" w:rsidRDefault="000B15A0" w:rsidP="0019054D">
      <w:pPr>
        <w:jc w:val="both"/>
        <w:rPr>
          <w:u w:val="single"/>
        </w:rPr>
      </w:pPr>
      <w:r w:rsidRPr="0019054D">
        <w:rPr>
          <w:u w:val="single"/>
        </w:rPr>
        <w:t>Citar o nome comercial do medicamento.</w:t>
      </w:r>
    </w:p>
    <w:p w:rsidR="00BE174D" w:rsidRPr="0019054D" w:rsidRDefault="00BE174D" w:rsidP="0019054D">
      <w:pPr>
        <w:jc w:val="both"/>
        <w:rPr>
          <w:u w:val="single"/>
        </w:rPr>
      </w:pPr>
    </w:p>
    <w:p w:rsidR="008347A6" w:rsidRDefault="008347A6" w:rsidP="0019054D">
      <w:pPr>
        <w:jc w:val="both"/>
        <w:rPr>
          <w:b/>
        </w:rPr>
      </w:pPr>
      <w:r w:rsidRPr="0019054D">
        <w:rPr>
          <w:b/>
        </w:rPr>
        <w:t xml:space="preserve">MEDICAMENTO FITOTERÁPICO </w:t>
      </w:r>
    </w:p>
    <w:p w:rsidR="00BE174D" w:rsidRPr="0019054D" w:rsidRDefault="00BE174D" w:rsidP="0019054D">
      <w:pPr>
        <w:jc w:val="both"/>
        <w:rPr>
          <w:b/>
        </w:rPr>
      </w:pPr>
    </w:p>
    <w:p w:rsidR="008347A6" w:rsidRPr="0019054D" w:rsidRDefault="008347A6" w:rsidP="0019054D">
      <w:pPr>
        <w:jc w:val="both"/>
      </w:pPr>
      <w:r w:rsidRPr="0019054D">
        <w:rPr>
          <w:b/>
        </w:rPr>
        <w:t>Nomenclatura botânica oficial</w:t>
      </w:r>
      <w:r w:rsidRPr="0019054D">
        <w:t xml:space="preserve">: </w:t>
      </w:r>
      <w:proofErr w:type="spellStart"/>
      <w:r w:rsidRPr="0019054D">
        <w:rPr>
          <w:i/>
        </w:rPr>
        <w:t>Glycine</w:t>
      </w:r>
      <w:proofErr w:type="spellEnd"/>
      <w:r w:rsidRPr="0019054D">
        <w:rPr>
          <w:i/>
        </w:rPr>
        <w:t xml:space="preserve"> </w:t>
      </w:r>
      <w:proofErr w:type="spellStart"/>
      <w:proofErr w:type="gramStart"/>
      <w:r w:rsidRPr="0019054D">
        <w:rPr>
          <w:i/>
        </w:rPr>
        <w:t>max</w:t>
      </w:r>
      <w:proofErr w:type="spellEnd"/>
      <w:proofErr w:type="gramEnd"/>
      <w:r w:rsidR="000B15A0" w:rsidRPr="0019054D">
        <w:t xml:space="preserve"> (L.) </w:t>
      </w:r>
      <w:proofErr w:type="spellStart"/>
      <w:r w:rsidR="000B15A0" w:rsidRPr="0019054D">
        <w:t>Merr</w:t>
      </w:r>
      <w:proofErr w:type="spellEnd"/>
      <w:r w:rsidR="000B15A0" w:rsidRPr="0019054D">
        <w:t>.</w:t>
      </w:r>
      <w:r w:rsidRPr="0019054D">
        <w:t xml:space="preserve"> </w:t>
      </w:r>
    </w:p>
    <w:p w:rsidR="008347A6" w:rsidRPr="0019054D" w:rsidRDefault="008347A6" w:rsidP="0019054D">
      <w:pPr>
        <w:jc w:val="both"/>
      </w:pPr>
      <w:r w:rsidRPr="0019054D">
        <w:rPr>
          <w:b/>
        </w:rPr>
        <w:t>Nome popular:</w:t>
      </w:r>
      <w:r w:rsidR="000B15A0" w:rsidRPr="0019054D">
        <w:t xml:space="preserve"> Soja</w:t>
      </w:r>
    </w:p>
    <w:p w:rsidR="008347A6" w:rsidRPr="0019054D" w:rsidRDefault="008347A6" w:rsidP="0019054D">
      <w:pPr>
        <w:jc w:val="both"/>
      </w:pPr>
      <w:r w:rsidRPr="0019054D">
        <w:rPr>
          <w:b/>
        </w:rPr>
        <w:t xml:space="preserve">Família: </w:t>
      </w:r>
      <w:proofErr w:type="spellStart"/>
      <w:r w:rsidRPr="00144C32">
        <w:t>F</w:t>
      </w:r>
      <w:r w:rsidR="00144C32" w:rsidRPr="00144C32">
        <w:t>abaceae</w:t>
      </w:r>
      <w:proofErr w:type="spellEnd"/>
    </w:p>
    <w:p w:rsidR="008347A6" w:rsidRPr="0019054D" w:rsidRDefault="008347A6" w:rsidP="0019054D">
      <w:pPr>
        <w:jc w:val="both"/>
      </w:pPr>
      <w:r w:rsidRPr="0019054D">
        <w:rPr>
          <w:b/>
        </w:rPr>
        <w:t>Parte da planta utilizada:</w:t>
      </w:r>
      <w:r w:rsidRPr="0019054D">
        <w:t xml:space="preserve"> Semente</w:t>
      </w:r>
      <w:r w:rsidR="00287297" w:rsidRPr="0019054D">
        <w:t>s</w:t>
      </w:r>
    </w:p>
    <w:p w:rsidR="008347A6" w:rsidRPr="0019054D" w:rsidRDefault="008347A6" w:rsidP="0019054D">
      <w:pPr>
        <w:jc w:val="both"/>
        <w:rPr>
          <w:b/>
        </w:rPr>
      </w:pPr>
    </w:p>
    <w:p w:rsidR="008347A6" w:rsidRDefault="008347A6" w:rsidP="0019054D">
      <w:pPr>
        <w:jc w:val="both"/>
        <w:rPr>
          <w:b/>
        </w:rPr>
      </w:pPr>
      <w:r w:rsidRPr="0019054D">
        <w:rPr>
          <w:b/>
        </w:rPr>
        <w:t xml:space="preserve">APRESENTAÇÕES </w:t>
      </w:r>
    </w:p>
    <w:p w:rsidR="000C6DF8" w:rsidRPr="0019054D" w:rsidRDefault="000C6DF8" w:rsidP="0019054D">
      <w:pPr>
        <w:jc w:val="both"/>
        <w:rPr>
          <w:b/>
        </w:rPr>
      </w:pPr>
    </w:p>
    <w:p w:rsidR="008347A6" w:rsidRDefault="008347A6" w:rsidP="0019054D">
      <w:pPr>
        <w:jc w:val="both"/>
        <w:rPr>
          <w:u w:val="single"/>
        </w:rPr>
      </w:pPr>
      <w:r w:rsidRPr="0019054D">
        <w:rPr>
          <w:u w:val="single"/>
        </w:rPr>
        <w:t>Citar apresentações comercializadas, informando:</w:t>
      </w:r>
      <w:r w:rsidRPr="0019054D">
        <w:rPr>
          <w:b/>
          <w:u w:val="single"/>
        </w:rPr>
        <w:cr/>
      </w:r>
      <w:r w:rsidRPr="0019054D">
        <w:rPr>
          <w:u w:val="single"/>
        </w:rPr>
        <w:t>- a forma farmacêutica;</w:t>
      </w:r>
      <w:r w:rsidRPr="0019054D">
        <w:rPr>
          <w:u w:val="single"/>
        </w:rPr>
        <w:cr/>
        <w:t xml:space="preserve">- a concentração do(s) princípio(s) ativo(s), por unidade de medida ou unidade farmacotécnica, conforme o caso; </w:t>
      </w:r>
      <w:r w:rsidRPr="0019054D">
        <w:rPr>
          <w:u w:val="single"/>
        </w:rPr>
        <w:cr/>
        <w:t>- a quantidade total de peso, volume líquido ou unidades farmacotécnicas, conforme o caso;</w:t>
      </w:r>
      <w:r w:rsidRPr="0019054D">
        <w:rPr>
          <w:u w:val="single"/>
        </w:rPr>
        <w:cr/>
        <w:t xml:space="preserve">- a quantidade total de acessórios dosadores que acompanha as apresentações, quando aplicável.  </w:t>
      </w:r>
    </w:p>
    <w:p w:rsidR="00BE174D" w:rsidRPr="0019054D" w:rsidRDefault="00BE174D" w:rsidP="0019054D">
      <w:pPr>
        <w:jc w:val="both"/>
        <w:rPr>
          <w:i/>
          <w:color w:val="FF0000"/>
          <w:u w:val="single"/>
        </w:rPr>
      </w:pPr>
    </w:p>
    <w:p w:rsidR="008347A6" w:rsidRDefault="0019054D" w:rsidP="0019054D">
      <w:pPr>
        <w:jc w:val="both"/>
        <w:rPr>
          <w:b/>
        </w:rPr>
      </w:pPr>
      <w:r w:rsidRPr="0019054D">
        <w:rPr>
          <w:b/>
        </w:rPr>
        <w:t>USO</w:t>
      </w:r>
      <w:r w:rsidR="008347A6" w:rsidRPr="0019054D">
        <w:t xml:space="preserve"> </w:t>
      </w:r>
      <w:r w:rsidR="008347A6" w:rsidRPr="0019054D">
        <w:rPr>
          <w:b/>
        </w:rPr>
        <w:t>ORAL</w:t>
      </w:r>
    </w:p>
    <w:p w:rsidR="000C6DF8" w:rsidRPr="0019054D" w:rsidRDefault="000C6DF8" w:rsidP="0019054D">
      <w:pPr>
        <w:jc w:val="both"/>
        <w:rPr>
          <w:b/>
        </w:rPr>
      </w:pPr>
    </w:p>
    <w:p w:rsidR="008347A6" w:rsidRDefault="008347A6" w:rsidP="0019054D">
      <w:pPr>
        <w:jc w:val="both"/>
        <w:rPr>
          <w:b/>
        </w:rPr>
      </w:pPr>
      <w:r w:rsidRPr="0019054D">
        <w:rPr>
          <w:b/>
        </w:rPr>
        <w:t>USO</w:t>
      </w:r>
      <w:r w:rsidRPr="0019054D">
        <w:t xml:space="preserve"> </w:t>
      </w:r>
      <w:r w:rsidRPr="0019054D">
        <w:rPr>
          <w:b/>
        </w:rPr>
        <w:t>ADULTO</w:t>
      </w:r>
    </w:p>
    <w:p w:rsidR="00BE174D" w:rsidRPr="0019054D" w:rsidRDefault="00BE174D" w:rsidP="0019054D">
      <w:pPr>
        <w:jc w:val="both"/>
        <w:rPr>
          <w:b/>
        </w:rPr>
      </w:pPr>
    </w:p>
    <w:p w:rsidR="008347A6" w:rsidRDefault="008347A6" w:rsidP="0019054D">
      <w:pPr>
        <w:jc w:val="both"/>
        <w:rPr>
          <w:b/>
        </w:rPr>
      </w:pPr>
      <w:r w:rsidRPr="0019054D">
        <w:rPr>
          <w:b/>
        </w:rPr>
        <w:t>COMPOSIÇÃO</w:t>
      </w:r>
    </w:p>
    <w:p w:rsidR="00BE174D" w:rsidRPr="0019054D" w:rsidRDefault="00BE174D" w:rsidP="0019054D">
      <w:pPr>
        <w:jc w:val="both"/>
        <w:rPr>
          <w:b/>
        </w:rPr>
      </w:pPr>
    </w:p>
    <w:p w:rsidR="008347A6" w:rsidRPr="0019054D" w:rsidRDefault="008347A6" w:rsidP="0019054D">
      <w:pPr>
        <w:tabs>
          <w:tab w:val="left" w:pos="9240"/>
        </w:tabs>
        <w:ind w:right="39"/>
        <w:contextualSpacing/>
        <w:jc w:val="both"/>
      </w:pPr>
      <w:r w:rsidRPr="0019054D">
        <w:t>Cada (</w:t>
      </w:r>
      <w:r w:rsidRPr="0019054D">
        <w:rPr>
          <w:u w:val="single"/>
        </w:rPr>
        <w:t>forma farmacêutica</w:t>
      </w:r>
      <w:r w:rsidRPr="0019054D">
        <w:t>) contém:</w:t>
      </w:r>
    </w:p>
    <w:p w:rsidR="000B15A0" w:rsidRPr="0019054D" w:rsidRDefault="000B15A0" w:rsidP="0019054D">
      <w:pPr>
        <w:autoSpaceDE w:val="0"/>
        <w:autoSpaceDN w:val="0"/>
        <w:adjustRightInd w:val="0"/>
        <w:jc w:val="both"/>
      </w:pPr>
      <w:r w:rsidRPr="0019054D">
        <w:rPr>
          <w:u w:val="single"/>
        </w:rPr>
        <w:t>Derivado vegetal (a empresa deve indicar o derivado vegetal aprovado no dossiê de registro do fitoterápico)</w:t>
      </w:r>
      <w:r w:rsidRPr="0019054D">
        <w:t xml:space="preserve"> de </w:t>
      </w:r>
      <w:proofErr w:type="spellStart"/>
      <w:r w:rsidRPr="0019054D">
        <w:rPr>
          <w:i/>
        </w:rPr>
        <w:t>Glycine</w:t>
      </w:r>
      <w:proofErr w:type="spellEnd"/>
      <w:r w:rsidRPr="0019054D">
        <w:rPr>
          <w:i/>
        </w:rPr>
        <w:t xml:space="preserve"> </w:t>
      </w:r>
      <w:proofErr w:type="spellStart"/>
      <w:proofErr w:type="gramStart"/>
      <w:r w:rsidRPr="0019054D">
        <w:rPr>
          <w:i/>
        </w:rPr>
        <w:t>max</w:t>
      </w:r>
      <w:proofErr w:type="spellEnd"/>
      <w:proofErr w:type="gramEnd"/>
      <w:r w:rsidRPr="0019054D">
        <w:t xml:space="preserve"> (L.) </w:t>
      </w:r>
      <w:proofErr w:type="spellStart"/>
      <w:r w:rsidRPr="0019054D">
        <w:t>Merr</w:t>
      </w:r>
      <w:proofErr w:type="spellEnd"/>
      <w:r w:rsidRPr="0019054D">
        <w:t xml:space="preserve">........ XXX </w:t>
      </w:r>
      <w:proofErr w:type="gramStart"/>
      <w:r w:rsidRPr="0019054D">
        <w:t>mg</w:t>
      </w:r>
      <w:proofErr w:type="gramEnd"/>
      <w:r w:rsidRPr="0019054D">
        <w:t xml:space="preserve"> (padronizado em XXX mg/unidade de medida ou </w:t>
      </w:r>
      <w:r w:rsidR="00BE174D">
        <w:t>X</w:t>
      </w:r>
      <w:r w:rsidRPr="0019054D">
        <w:t xml:space="preserve">XX% de </w:t>
      </w:r>
      <w:proofErr w:type="spellStart"/>
      <w:r w:rsidRPr="0019054D">
        <w:t>isoflavonas</w:t>
      </w:r>
      <w:proofErr w:type="spellEnd"/>
      <w:r w:rsidRPr="0019054D">
        <w:t>)</w:t>
      </w:r>
    </w:p>
    <w:p w:rsidR="000B15A0" w:rsidRDefault="000B15A0" w:rsidP="0019054D">
      <w:pPr>
        <w:autoSpaceDE w:val="0"/>
        <w:autoSpaceDN w:val="0"/>
        <w:adjustRightInd w:val="0"/>
        <w:jc w:val="both"/>
      </w:pPr>
      <w:r w:rsidRPr="0019054D">
        <w:t>Equivalente a</w:t>
      </w:r>
      <w:r w:rsidR="00BE174D">
        <w:t xml:space="preserve"> X</w:t>
      </w:r>
      <w:r w:rsidRPr="0019054D">
        <w:t xml:space="preserve">XX </w:t>
      </w:r>
      <w:proofErr w:type="gramStart"/>
      <w:r w:rsidRPr="0019054D">
        <w:t>mg</w:t>
      </w:r>
      <w:proofErr w:type="gramEnd"/>
      <w:r w:rsidRPr="0019054D">
        <w:t xml:space="preserve"> de </w:t>
      </w:r>
      <w:proofErr w:type="spellStart"/>
      <w:r w:rsidR="000C6DF8" w:rsidRPr="0019054D">
        <w:t>isoflavonas</w:t>
      </w:r>
      <w:proofErr w:type="spellEnd"/>
      <w:r w:rsidR="000C6DF8" w:rsidRPr="0019054D">
        <w:t xml:space="preserve"> </w:t>
      </w:r>
      <w:r w:rsidRPr="0019054D">
        <w:t>/unidade de medida ou unidade farmacotécnica do produto terminado.</w:t>
      </w:r>
    </w:p>
    <w:p w:rsidR="000C6DF8" w:rsidRPr="0019054D" w:rsidRDefault="000C6DF8" w:rsidP="0019054D">
      <w:pPr>
        <w:autoSpaceDE w:val="0"/>
        <w:autoSpaceDN w:val="0"/>
        <w:adjustRightInd w:val="0"/>
        <w:jc w:val="both"/>
      </w:pPr>
    </w:p>
    <w:p w:rsidR="000B15A0" w:rsidRDefault="000B15A0" w:rsidP="0019054D">
      <w:pPr>
        <w:jc w:val="both"/>
        <w:rPr>
          <w:u w:val="single"/>
        </w:rPr>
      </w:pPr>
      <w:r w:rsidRPr="0019054D">
        <w:rPr>
          <w:u w:val="single"/>
        </w:rPr>
        <w:t>Para os excipientes, descrever a composição qualitativa, conforme DCB.</w:t>
      </w:r>
    </w:p>
    <w:p w:rsidR="000C6DF8" w:rsidRPr="0019054D" w:rsidRDefault="000C6DF8" w:rsidP="0019054D">
      <w:pPr>
        <w:jc w:val="both"/>
        <w:rPr>
          <w:u w:val="single"/>
        </w:rPr>
      </w:pPr>
    </w:p>
    <w:p w:rsidR="000B15A0" w:rsidRDefault="000B15A0" w:rsidP="0019054D">
      <w:pPr>
        <w:jc w:val="both"/>
        <w:rPr>
          <w:u w:val="single"/>
        </w:rPr>
      </w:pPr>
      <w:r w:rsidRPr="0019054D">
        <w:rPr>
          <w:u w:val="single"/>
        </w:rPr>
        <w:t>Para formas farmacêuticas líquidas, quando o solvente for alcoólico, mencionar a graduação alcoólica do produto final.</w:t>
      </w:r>
    </w:p>
    <w:p w:rsidR="000C6DF8" w:rsidRPr="0019054D" w:rsidRDefault="000C6DF8" w:rsidP="0019054D">
      <w:pPr>
        <w:jc w:val="both"/>
        <w:rPr>
          <w:u w:val="single"/>
        </w:rPr>
      </w:pPr>
    </w:p>
    <w:p w:rsidR="000B15A0" w:rsidRPr="0019054D" w:rsidRDefault="000B15A0" w:rsidP="0019054D">
      <w:pPr>
        <w:jc w:val="both"/>
        <w:rPr>
          <w:u w:val="single"/>
        </w:rPr>
      </w:pPr>
      <w:r w:rsidRPr="0019054D">
        <w:rPr>
          <w:u w:val="single"/>
        </w:rPr>
        <w:t>Para medicamentos com forma farmacêutica líquida e em gotas, informar a equivalência de gotas para cada mililitro (gotas/</w:t>
      </w:r>
      <w:proofErr w:type="spellStart"/>
      <w:r w:rsidRPr="0019054D">
        <w:rPr>
          <w:u w:val="single"/>
        </w:rPr>
        <w:t>mL</w:t>
      </w:r>
      <w:proofErr w:type="spellEnd"/>
      <w:r w:rsidRPr="0019054D">
        <w:rPr>
          <w:u w:val="single"/>
        </w:rPr>
        <w:t>) e massa por gota (</w:t>
      </w:r>
      <w:proofErr w:type="gramStart"/>
      <w:r w:rsidRPr="0019054D">
        <w:rPr>
          <w:u w:val="single"/>
        </w:rPr>
        <w:t>mg</w:t>
      </w:r>
      <w:proofErr w:type="gramEnd"/>
      <w:r w:rsidRPr="0019054D">
        <w:rPr>
          <w:u w:val="single"/>
        </w:rPr>
        <w:t>/gotas).</w:t>
      </w:r>
    </w:p>
    <w:p w:rsidR="008347A6" w:rsidRPr="0019054D" w:rsidRDefault="008347A6" w:rsidP="0019054D">
      <w:pPr>
        <w:contextualSpacing/>
        <w:jc w:val="both"/>
        <w:rPr>
          <w:b/>
        </w:rPr>
      </w:pPr>
    </w:p>
    <w:p w:rsidR="008347A6" w:rsidRPr="0019054D" w:rsidRDefault="008347A6" w:rsidP="0019054D">
      <w:pPr>
        <w:contextualSpacing/>
        <w:jc w:val="both"/>
        <w:rPr>
          <w:b/>
        </w:rPr>
      </w:pPr>
      <w:r w:rsidRPr="0019054D">
        <w:rPr>
          <w:b/>
        </w:rPr>
        <w:t>INFORMAÇÕES TÉCNICAS AOS PROFISSIONAIS DE SAÚDE</w:t>
      </w:r>
    </w:p>
    <w:p w:rsidR="008347A6" w:rsidRPr="0019054D" w:rsidRDefault="008347A6" w:rsidP="0019054D">
      <w:pPr>
        <w:contextualSpacing/>
        <w:jc w:val="both"/>
        <w:rPr>
          <w:b/>
        </w:rPr>
      </w:pPr>
    </w:p>
    <w:p w:rsidR="008347A6" w:rsidRPr="0019054D" w:rsidRDefault="008347A6" w:rsidP="0019054D">
      <w:pPr>
        <w:numPr>
          <w:ilvl w:val="0"/>
          <w:numId w:val="2"/>
        </w:numPr>
        <w:ind w:left="284" w:hanging="284"/>
        <w:contextualSpacing/>
        <w:jc w:val="both"/>
        <w:rPr>
          <w:b/>
        </w:rPr>
      </w:pPr>
      <w:r w:rsidRPr="0019054D">
        <w:rPr>
          <w:b/>
        </w:rPr>
        <w:t>INDICAÇÕES</w:t>
      </w:r>
    </w:p>
    <w:p w:rsidR="008347A6" w:rsidRPr="0019054D" w:rsidRDefault="008347A6" w:rsidP="0019054D">
      <w:pPr>
        <w:contextualSpacing/>
        <w:jc w:val="both"/>
      </w:pPr>
      <w:r w:rsidRPr="0019054D">
        <w:t xml:space="preserve">Este medicamento é </w:t>
      </w:r>
      <w:r w:rsidR="00144C32" w:rsidRPr="00CC4E56">
        <w:t xml:space="preserve">indicado </w:t>
      </w:r>
      <w:r w:rsidR="00144C32">
        <w:t xml:space="preserve">como coadjuvante no alívio dos sintomas do climatério: </w:t>
      </w:r>
      <w:r w:rsidRPr="0019054D">
        <w:t>sintomas vasomotores, tais como ondas de calor e sudorese. São considerados moduladores seletivos dos receptores de estrógenos, apresentando ações estrogênicas nos vasos sanguíneos.</w:t>
      </w:r>
    </w:p>
    <w:p w:rsidR="008347A6" w:rsidRDefault="008347A6" w:rsidP="0019054D">
      <w:pPr>
        <w:numPr>
          <w:ilvl w:val="0"/>
          <w:numId w:val="2"/>
        </w:numPr>
        <w:ind w:left="284" w:hanging="284"/>
        <w:contextualSpacing/>
        <w:jc w:val="both"/>
        <w:rPr>
          <w:b/>
        </w:rPr>
      </w:pPr>
      <w:r w:rsidRPr="0019054D">
        <w:rPr>
          <w:b/>
        </w:rPr>
        <w:lastRenderedPageBreak/>
        <w:t>RESULTADOS DE EFICÁCIA</w:t>
      </w:r>
    </w:p>
    <w:p w:rsidR="000C6DF8" w:rsidRPr="0019054D" w:rsidRDefault="000C6DF8" w:rsidP="000C6DF8">
      <w:pPr>
        <w:ind w:left="284"/>
        <w:contextualSpacing/>
        <w:jc w:val="both"/>
        <w:rPr>
          <w:b/>
        </w:rPr>
      </w:pPr>
    </w:p>
    <w:p w:rsidR="008347A6" w:rsidRDefault="008347A6" w:rsidP="0019054D">
      <w:pPr>
        <w:contextualSpacing/>
        <w:jc w:val="both"/>
        <w:rPr>
          <w:bCs/>
        </w:rPr>
      </w:pPr>
      <w:r w:rsidRPr="0019054D">
        <w:rPr>
          <w:bCs/>
        </w:rPr>
        <w:t xml:space="preserve">Um estudo multicêntrico, randomizado, duplo cego, avaliou 177 mulheres em fase de pós-menopausa, recebendo uma dose diária de extrato de </w:t>
      </w:r>
      <w:r w:rsidRPr="0019054D">
        <w:rPr>
          <w:bCs/>
          <w:i/>
        </w:rPr>
        <w:t>G</w:t>
      </w:r>
      <w:r w:rsidR="000C6DF8">
        <w:rPr>
          <w:bCs/>
          <w:i/>
        </w:rPr>
        <w:t>.</w:t>
      </w:r>
      <w:r w:rsidRPr="0019054D">
        <w:rPr>
          <w:bCs/>
          <w:i/>
        </w:rPr>
        <w:t xml:space="preserve"> </w:t>
      </w:r>
      <w:proofErr w:type="spellStart"/>
      <w:proofErr w:type="gramStart"/>
      <w:r w:rsidRPr="0019054D">
        <w:rPr>
          <w:bCs/>
          <w:i/>
        </w:rPr>
        <w:t>max</w:t>
      </w:r>
      <w:proofErr w:type="spellEnd"/>
      <w:proofErr w:type="gramEnd"/>
      <w:r w:rsidRPr="0019054D">
        <w:rPr>
          <w:bCs/>
        </w:rPr>
        <w:t xml:space="preserve"> padronizado em 50 mg de </w:t>
      </w:r>
      <w:proofErr w:type="spellStart"/>
      <w:r w:rsidRPr="0019054D">
        <w:rPr>
          <w:bCs/>
        </w:rPr>
        <w:t>isoflavonas</w:t>
      </w:r>
      <w:proofErr w:type="spellEnd"/>
      <w:r w:rsidRPr="0019054D">
        <w:rPr>
          <w:bCs/>
        </w:rPr>
        <w:t xml:space="preserve"> ou placebo. Os resultados demonstram uma redução estatisticamente significativa na severidade e </w:t>
      </w:r>
      <w:r w:rsidR="000B15A0" w:rsidRPr="0019054D">
        <w:rPr>
          <w:bCs/>
        </w:rPr>
        <w:t xml:space="preserve">frequência </w:t>
      </w:r>
      <w:r w:rsidRPr="0019054D">
        <w:rPr>
          <w:bCs/>
        </w:rPr>
        <w:t xml:space="preserve">das ondas de calor, durante as 12 semanas, no grupo que recebeu extrato de soja, quando comparado ao grupo placebo. Não houve alteração significativa na espessura do endométrio, no </w:t>
      </w:r>
      <w:proofErr w:type="gramStart"/>
      <w:r w:rsidRPr="0019054D">
        <w:rPr>
          <w:bCs/>
        </w:rPr>
        <w:t>pH</w:t>
      </w:r>
      <w:proofErr w:type="gramEnd"/>
      <w:r w:rsidRPr="0019054D">
        <w:rPr>
          <w:bCs/>
        </w:rPr>
        <w:t xml:space="preserve"> e na mucosa vaginal, nos dois grupos de pacientes, quando comparados com o início do estudo</w:t>
      </w:r>
      <w:r w:rsidR="000B15A0" w:rsidRPr="0019054D">
        <w:rPr>
          <w:bCs/>
        </w:rPr>
        <w:t xml:space="preserve"> (</w:t>
      </w:r>
      <w:r w:rsidR="00D91CF2" w:rsidRPr="000C6DF8">
        <w:t>U</w:t>
      </w:r>
      <w:r w:rsidR="000B15A0" w:rsidRPr="000C6DF8">
        <w:t>PMALIS</w:t>
      </w:r>
      <w:r w:rsidR="00D91CF2" w:rsidRPr="000C6DF8">
        <w:t xml:space="preserve"> </w:t>
      </w:r>
      <w:r w:rsidR="00D91CF2" w:rsidRPr="000C6DF8">
        <w:rPr>
          <w:i/>
        </w:rPr>
        <w:t>et al</w:t>
      </w:r>
      <w:r w:rsidR="00D91CF2" w:rsidRPr="000C6DF8">
        <w:t>.</w:t>
      </w:r>
      <w:r w:rsidR="000B15A0" w:rsidRPr="000C6DF8">
        <w:t>, 2000)</w:t>
      </w:r>
      <w:r w:rsidRPr="000C6DF8">
        <w:rPr>
          <w:bCs/>
        </w:rPr>
        <w:t>.</w:t>
      </w:r>
      <w:r w:rsidRPr="0019054D">
        <w:rPr>
          <w:bCs/>
        </w:rPr>
        <w:t xml:space="preserve"> Outro estudo randomizado, duplo cego, prospectivo, foi realizado com 79 pacientes na pós-menopausa para avaliar a melhora de fogachos característicos de menopausa com administração de extrato de soja contendo </w:t>
      </w:r>
      <w:proofErr w:type="spellStart"/>
      <w:r w:rsidRPr="0019054D">
        <w:rPr>
          <w:bCs/>
        </w:rPr>
        <w:t>isoflavonas</w:t>
      </w:r>
      <w:proofErr w:type="spellEnd"/>
      <w:r w:rsidRPr="0019054D">
        <w:rPr>
          <w:bCs/>
        </w:rPr>
        <w:t xml:space="preserve">. As pacientes foram divididas, conforme programa de randomização, em dois grupos. O primeiro recebeu 150 </w:t>
      </w:r>
      <w:proofErr w:type="gramStart"/>
      <w:r w:rsidRPr="0019054D">
        <w:rPr>
          <w:bCs/>
        </w:rPr>
        <w:t>mg</w:t>
      </w:r>
      <w:proofErr w:type="gramEnd"/>
      <w:r w:rsidRPr="0019054D">
        <w:rPr>
          <w:bCs/>
        </w:rPr>
        <w:t xml:space="preserve"> de extrato de </w:t>
      </w:r>
      <w:r w:rsidRPr="0019054D">
        <w:rPr>
          <w:bCs/>
          <w:i/>
        </w:rPr>
        <w:t>G</w:t>
      </w:r>
      <w:r w:rsidR="000C6DF8">
        <w:rPr>
          <w:bCs/>
          <w:i/>
        </w:rPr>
        <w:t>.</w:t>
      </w:r>
      <w:r w:rsidRPr="0019054D">
        <w:rPr>
          <w:bCs/>
          <w:i/>
        </w:rPr>
        <w:t xml:space="preserve"> </w:t>
      </w:r>
      <w:proofErr w:type="spellStart"/>
      <w:r w:rsidRPr="0019054D">
        <w:rPr>
          <w:bCs/>
          <w:i/>
        </w:rPr>
        <w:t>max</w:t>
      </w:r>
      <w:proofErr w:type="spellEnd"/>
      <w:r w:rsidRPr="0019054D">
        <w:rPr>
          <w:bCs/>
        </w:rPr>
        <w:t xml:space="preserve"> contendo 60 mg de </w:t>
      </w:r>
      <w:proofErr w:type="spellStart"/>
      <w:r w:rsidRPr="0019054D">
        <w:rPr>
          <w:bCs/>
        </w:rPr>
        <w:t>isoflavonas</w:t>
      </w:r>
      <w:proofErr w:type="spellEnd"/>
      <w:r w:rsidRPr="0019054D">
        <w:rPr>
          <w:bCs/>
        </w:rPr>
        <w:t>, por via oral a cada 12 horas, continuamente por 6 meses. O segundo grupo rece</w:t>
      </w:r>
      <w:r w:rsidR="000B15A0" w:rsidRPr="0019054D">
        <w:rPr>
          <w:bCs/>
        </w:rPr>
        <w:t>beu duas cápsulas, por via oral</w:t>
      </w:r>
      <w:r w:rsidRPr="0019054D">
        <w:rPr>
          <w:bCs/>
        </w:rPr>
        <w:t xml:space="preserve"> de 12 em 12 horas, continuamente, das quais uma continha 0,625 </w:t>
      </w:r>
      <w:proofErr w:type="gramStart"/>
      <w:r w:rsidRPr="0019054D">
        <w:rPr>
          <w:bCs/>
        </w:rPr>
        <w:t>mg</w:t>
      </w:r>
      <w:proofErr w:type="gramEnd"/>
      <w:r w:rsidRPr="0019054D">
        <w:rPr>
          <w:bCs/>
        </w:rPr>
        <w:t xml:space="preserve"> de estrogênios conjugados </w:t>
      </w:r>
      <w:r w:rsidR="000B15A0" w:rsidRPr="0019054D">
        <w:rPr>
          <w:bCs/>
        </w:rPr>
        <w:t xml:space="preserve">equinos </w:t>
      </w:r>
      <w:r w:rsidRPr="0019054D">
        <w:rPr>
          <w:bCs/>
        </w:rPr>
        <w:t xml:space="preserve">e outra, era de placebo. A partir do estudo verificou-se que as </w:t>
      </w:r>
      <w:proofErr w:type="spellStart"/>
      <w:r w:rsidRPr="0019054D">
        <w:rPr>
          <w:bCs/>
        </w:rPr>
        <w:t>isoflavonas</w:t>
      </w:r>
      <w:proofErr w:type="spellEnd"/>
      <w:r w:rsidRPr="0019054D">
        <w:rPr>
          <w:bCs/>
        </w:rPr>
        <w:t xml:space="preserve">, de maneira similar aos estrogênios, aliviaram os sintomas climatéricos após o segundo mês de tratamento. Os efeitos sobre os sintomas vasomotores foram semelhantes aos dos estrogênios durante os seis meses de tratamento, sem ocorrer alteração no </w:t>
      </w:r>
      <w:proofErr w:type="gramStart"/>
      <w:r w:rsidRPr="0019054D">
        <w:rPr>
          <w:bCs/>
        </w:rPr>
        <w:t>pH</w:t>
      </w:r>
      <w:proofErr w:type="gramEnd"/>
      <w:r w:rsidRPr="0019054D">
        <w:rPr>
          <w:bCs/>
        </w:rPr>
        <w:t xml:space="preserve"> e na mucosa vaginal e sem acarretar proliferação endometrial nas pacientes que receberam </w:t>
      </w:r>
      <w:proofErr w:type="spellStart"/>
      <w:r w:rsidRPr="0019054D">
        <w:rPr>
          <w:bCs/>
        </w:rPr>
        <w:t>isoflavonas</w:t>
      </w:r>
      <w:proofErr w:type="spellEnd"/>
      <w:r w:rsidR="000B15A0" w:rsidRPr="0019054D">
        <w:rPr>
          <w:bCs/>
        </w:rPr>
        <w:t xml:space="preserve"> </w:t>
      </w:r>
      <w:r w:rsidR="000B15A0" w:rsidRPr="000C6DF8">
        <w:t>(K</w:t>
      </w:r>
      <w:r w:rsidR="00D91CF2" w:rsidRPr="000C6DF8">
        <w:t>AARI</w:t>
      </w:r>
      <w:r w:rsidR="000B15A0" w:rsidRPr="000C6DF8">
        <w:t xml:space="preserve">, 2003; </w:t>
      </w:r>
      <w:r w:rsidR="00D91CF2" w:rsidRPr="000C6DF8">
        <w:t xml:space="preserve">KAARI </w:t>
      </w:r>
      <w:r w:rsidR="00D91CF2" w:rsidRPr="000C6DF8">
        <w:rPr>
          <w:i/>
        </w:rPr>
        <w:t>et al</w:t>
      </w:r>
      <w:r w:rsidR="00D91CF2" w:rsidRPr="000C6DF8">
        <w:t>, 2006</w:t>
      </w:r>
      <w:r w:rsidR="000B15A0" w:rsidRPr="000C6DF8">
        <w:t>)</w:t>
      </w:r>
      <w:r w:rsidRPr="0019054D">
        <w:rPr>
          <w:bCs/>
        </w:rPr>
        <w:t xml:space="preserve">. </w:t>
      </w:r>
    </w:p>
    <w:p w:rsidR="000C6DF8" w:rsidRPr="0019054D" w:rsidRDefault="000C6DF8" w:rsidP="0019054D">
      <w:pPr>
        <w:contextualSpacing/>
        <w:jc w:val="both"/>
        <w:rPr>
          <w:bCs/>
        </w:rPr>
      </w:pPr>
    </w:p>
    <w:p w:rsidR="008347A6" w:rsidRDefault="008347A6" w:rsidP="0019054D">
      <w:pPr>
        <w:numPr>
          <w:ilvl w:val="0"/>
          <w:numId w:val="2"/>
        </w:numPr>
        <w:ind w:left="284" w:hanging="284"/>
        <w:contextualSpacing/>
        <w:jc w:val="both"/>
        <w:rPr>
          <w:b/>
        </w:rPr>
      </w:pPr>
      <w:r w:rsidRPr="0019054D">
        <w:rPr>
          <w:b/>
        </w:rPr>
        <w:t>CARACTERÍSTICAS FARMACOLÓGICAS</w:t>
      </w:r>
    </w:p>
    <w:p w:rsidR="000C6DF8" w:rsidRPr="0019054D" w:rsidRDefault="000C6DF8" w:rsidP="000C6DF8">
      <w:pPr>
        <w:ind w:left="284"/>
        <w:contextualSpacing/>
        <w:jc w:val="both"/>
        <w:rPr>
          <w:b/>
        </w:rPr>
      </w:pPr>
    </w:p>
    <w:p w:rsidR="008347A6" w:rsidRPr="0019054D" w:rsidRDefault="008347A6" w:rsidP="0019054D">
      <w:pPr>
        <w:contextualSpacing/>
        <w:jc w:val="both"/>
      </w:pPr>
      <w:proofErr w:type="spellStart"/>
      <w:r w:rsidRPr="0019054D">
        <w:t>Isoflavonas</w:t>
      </w:r>
      <w:proofErr w:type="spellEnd"/>
      <w:r w:rsidRPr="0019054D">
        <w:t xml:space="preserve"> pertencem à classe de </w:t>
      </w:r>
      <w:proofErr w:type="spellStart"/>
      <w:r w:rsidRPr="0019054D">
        <w:t>fitoestrógenos</w:t>
      </w:r>
      <w:proofErr w:type="spellEnd"/>
      <w:r w:rsidRPr="0019054D">
        <w:t xml:space="preserve"> presentes em distintas espécies de grãos utilizados na alimentação (soja e lentilha, entre outros). Soja é uma fonte rica de </w:t>
      </w:r>
      <w:proofErr w:type="spellStart"/>
      <w:r w:rsidRPr="0019054D">
        <w:t>isoflavonas</w:t>
      </w:r>
      <w:proofErr w:type="spellEnd"/>
      <w:r w:rsidRPr="0019054D">
        <w:t xml:space="preserve">, incluindo a </w:t>
      </w:r>
      <w:proofErr w:type="spellStart"/>
      <w:r w:rsidRPr="0019054D">
        <w:t>genisteína</w:t>
      </w:r>
      <w:proofErr w:type="spellEnd"/>
      <w:r w:rsidRPr="0019054D">
        <w:t xml:space="preserve">, </w:t>
      </w:r>
      <w:proofErr w:type="spellStart"/>
      <w:r w:rsidRPr="0019054D">
        <w:t>daidzeína</w:t>
      </w:r>
      <w:proofErr w:type="spellEnd"/>
      <w:r w:rsidRPr="0019054D">
        <w:t xml:space="preserve"> e </w:t>
      </w:r>
      <w:proofErr w:type="spellStart"/>
      <w:r w:rsidRPr="0019054D">
        <w:t>gliciteína</w:t>
      </w:r>
      <w:proofErr w:type="spellEnd"/>
      <w:r w:rsidRPr="0019054D">
        <w:t xml:space="preserve">. </w:t>
      </w:r>
      <w:proofErr w:type="gramStart"/>
      <w:r w:rsidRPr="0019054D">
        <w:t>Apresentam</w:t>
      </w:r>
      <w:proofErr w:type="gramEnd"/>
      <w:r w:rsidRPr="0019054D">
        <w:t xml:space="preserve"> estrutura similar ao estrógeno fisiológico, 17β-estradiol, com uma estrutura fenólica comum que parece ser o pré-requisito para a interação com receptores estrogênicos</w:t>
      </w:r>
      <w:r w:rsidR="000B15A0" w:rsidRPr="0019054D">
        <w:t xml:space="preserve"> (</w:t>
      </w:r>
      <w:r w:rsidR="000B15A0" w:rsidRPr="0019054D">
        <w:rPr>
          <w:u w:val="single"/>
        </w:rPr>
        <w:t xml:space="preserve">KAARI </w:t>
      </w:r>
      <w:r w:rsidR="000B15A0" w:rsidRPr="0019054D">
        <w:rPr>
          <w:i/>
          <w:u w:val="single"/>
        </w:rPr>
        <w:t>et al</w:t>
      </w:r>
      <w:r w:rsidR="000B15A0" w:rsidRPr="0019054D">
        <w:rPr>
          <w:u w:val="single"/>
        </w:rPr>
        <w:t>, 2006)</w:t>
      </w:r>
      <w:r w:rsidRPr="0019054D">
        <w:t xml:space="preserve">.  As moléculas de </w:t>
      </w:r>
      <w:proofErr w:type="spellStart"/>
      <w:r w:rsidRPr="0019054D">
        <w:t>isoflavonas</w:t>
      </w:r>
      <w:proofErr w:type="spellEnd"/>
      <w:r w:rsidRPr="0019054D">
        <w:t xml:space="preserve"> têm uma fraca atividade estrogênica, ass</w:t>
      </w:r>
      <w:r w:rsidR="000C6DF8">
        <w:t xml:space="preserve">im como </w:t>
      </w:r>
      <w:proofErr w:type="gramStart"/>
      <w:r w:rsidR="000C6DF8">
        <w:t>algumas atividades anti</w:t>
      </w:r>
      <w:r w:rsidRPr="0019054D">
        <w:t>estrogênica</w:t>
      </w:r>
      <w:proofErr w:type="gramEnd"/>
      <w:r w:rsidR="000B15A0" w:rsidRPr="0019054D">
        <w:t xml:space="preserve"> </w:t>
      </w:r>
      <w:r w:rsidR="000B15A0" w:rsidRPr="0019054D">
        <w:rPr>
          <w:bCs/>
        </w:rPr>
        <w:t>(</w:t>
      </w:r>
      <w:r w:rsidR="000B15A0" w:rsidRPr="0019054D">
        <w:rPr>
          <w:u w:val="single"/>
        </w:rPr>
        <w:t xml:space="preserve">UPMALIS </w:t>
      </w:r>
      <w:r w:rsidR="000B15A0" w:rsidRPr="0019054D">
        <w:rPr>
          <w:i/>
          <w:u w:val="single"/>
        </w:rPr>
        <w:t>et al</w:t>
      </w:r>
      <w:r w:rsidR="000B15A0" w:rsidRPr="0019054D">
        <w:rPr>
          <w:u w:val="single"/>
        </w:rPr>
        <w:t>., 2000)</w:t>
      </w:r>
      <w:r w:rsidRPr="0019054D">
        <w:t>. São considerados moduladores seletivos dos receptores de estrógenos, apresentando ações estrogênicas nos vasos sanguíneos.</w:t>
      </w:r>
    </w:p>
    <w:p w:rsidR="008347A6" w:rsidRPr="0019054D" w:rsidRDefault="00A7059B" w:rsidP="0019054D">
      <w:pPr>
        <w:contextualSpacing/>
        <w:jc w:val="both"/>
      </w:pPr>
      <w:r w:rsidRPr="0019054D">
        <w:t xml:space="preserve">Esses </w:t>
      </w:r>
      <w:proofErr w:type="spellStart"/>
      <w:r w:rsidR="008347A6" w:rsidRPr="0019054D">
        <w:t>fitoestrógenos</w:t>
      </w:r>
      <w:proofErr w:type="spellEnd"/>
      <w:r w:rsidR="008347A6" w:rsidRPr="0019054D">
        <w:t xml:space="preserve"> têm uma maior afinidade pelo receptor estrogênico β que α, apresentando efeito tecido-seletivo, uma vez que a distribuição desses receptores é variável nos diferentes tecidos. Em </w:t>
      </w:r>
      <w:r w:rsidRPr="0019054D">
        <w:t>consequência</w:t>
      </w:r>
      <w:r w:rsidR="008347A6" w:rsidRPr="0019054D">
        <w:t>, esperam-se ações mais marcadas em tecidos onde predominam receptores β, como nos vasos sanguíneos e ossos</w:t>
      </w:r>
      <w:r w:rsidRPr="0019054D">
        <w:t xml:space="preserve"> (</w:t>
      </w:r>
      <w:r w:rsidR="00D91CF2" w:rsidRPr="000C6DF8">
        <w:rPr>
          <w:u w:val="single"/>
        </w:rPr>
        <w:t>K</w:t>
      </w:r>
      <w:r w:rsidRPr="0019054D">
        <w:rPr>
          <w:u w:val="single"/>
        </w:rPr>
        <w:t xml:space="preserve">UIPER </w:t>
      </w:r>
      <w:proofErr w:type="gramStart"/>
      <w:r w:rsidR="00D91CF2" w:rsidRPr="000C6DF8">
        <w:rPr>
          <w:i/>
          <w:u w:val="single"/>
        </w:rPr>
        <w:t>et</w:t>
      </w:r>
      <w:proofErr w:type="gramEnd"/>
      <w:r w:rsidR="00D91CF2" w:rsidRPr="000C6DF8">
        <w:rPr>
          <w:i/>
          <w:u w:val="single"/>
        </w:rPr>
        <w:t xml:space="preserve"> al</w:t>
      </w:r>
      <w:r w:rsidRPr="0019054D">
        <w:rPr>
          <w:u w:val="single"/>
        </w:rPr>
        <w:t xml:space="preserve">., 1998; </w:t>
      </w:r>
      <w:r w:rsidRPr="0019054D">
        <w:rPr>
          <w:u w:val="single"/>
          <w:lang w:val="es-ES"/>
        </w:rPr>
        <w:t xml:space="preserve">MOLL </w:t>
      </w:r>
      <w:r w:rsidRPr="0019054D">
        <w:rPr>
          <w:i/>
          <w:u w:val="single"/>
          <w:lang w:val="es-ES"/>
        </w:rPr>
        <w:t>et al</w:t>
      </w:r>
      <w:r w:rsidRPr="0019054D">
        <w:rPr>
          <w:u w:val="single"/>
          <w:lang w:val="es-ES"/>
        </w:rPr>
        <w:t>., 2000)</w:t>
      </w:r>
      <w:r w:rsidRPr="0019054D">
        <w:rPr>
          <w:u w:val="single"/>
        </w:rPr>
        <w:t xml:space="preserve"> </w:t>
      </w:r>
      <w:r w:rsidR="008347A6" w:rsidRPr="0019054D">
        <w:t xml:space="preserve">. </w:t>
      </w:r>
    </w:p>
    <w:p w:rsidR="000C6DF8" w:rsidRDefault="008347A6" w:rsidP="00BE174D">
      <w:pPr>
        <w:spacing w:before="100" w:beforeAutospacing="1" w:after="100" w:afterAutospacing="1"/>
        <w:contextualSpacing/>
        <w:jc w:val="both"/>
      </w:pPr>
      <w:r w:rsidRPr="0019054D">
        <w:t xml:space="preserve">As </w:t>
      </w:r>
      <w:proofErr w:type="spellStart"/>
      <w:r w:rsidRPr="0019054D">
        <w:t>isoflavonas</w:t>
      </w:r>
      <w:proofErr w:type="spellEnd"/>
      <w:r w:rsidRPr="0019054D">
        <w:t xml:space="preserve"> podem ocorrer tanto como </w:t>
      </w:r>
      <w:proofErr w:type="spellStart"/>
      <w:r w:rsidRPr="0019054D">
        <w:t>agliconas</w:t>
      </w:r>
      <w:proofErr w:type="spellEnd"/>
      <w:r w:rsidRPr="0019054D">
        <w:t xml:space="preserve">, bem como sob a forma de glicosídeos conjugados, que sofrem hidrólise quando submetidos à ação de enzimas elaboradas pela </w:t>
      </w:r>
      <w:r w:rsidR="00A7059B" w:rsidRPr="0019054D">
        <w:t xml:space="preserve">microbiota </w:t>
      </w:r>
      <w:r w:rsidRPr="0019054D">
        <w:t xml:space="preserve">intestinal, aumentando significativamente a quantidade de </w:t>
      </w:r>
      <w:proofErr w:type="spellStart"/>
      <w:r w:rsidRPr="0019054D">
        <w:t>isoflavonas</w:t>
      </w:r>
      <w:proofErr w:type="spellEnd"/>
      <w:r w:rsidRPr="0019054D">
        <w:t xml:space="preserve"> livres. As </w:t>
      </w:r>
      <w:proofErr w:type="spellStart"/>
      <w:r w:rsidRPr="0019054D">
        <w:t>isoflavonas</w:t>
      </w:r>
      <w:proofErr w:type="spellEnd"/>
      <w:r w:rsidRPr="0019054D">
        <w:t xml:space="preserve"> são submetidas ao ciclo </w:t>
      </w:r>
      <w:proofErr w:type="spellStart"/>
      <w:r w:rsidRPr="0019054D">
        <w:t>entero</w:t>
      </w:r>
      <w:proofErr w:type="spellEnd"/>
      <w:r w:rsidRPr="0019054D">
        <w:t xml:space="preserve">-hepático, de modo que após sua absorção pelo intestino, passam pelo fígado e </w:t>
      </w:r>
      <w:proofErr w:type="gramStart"/>
      <w:r w:rsidRPr="0019054D">
        <w:t>são</w:t>
      </w:r>
      <w:proofErr w:type="gramEnd"/>
      <w:r w:rsidRPr="0019054D">
        <w:t xml:space="preserve"> excretadas na bile na forma conjugada, o que favorece a manutenção de concentrações plasmáticas adequadas. A meia vida </w:t>
      </w:r>
      <w:r w:rsidR="00A7059B" w:rsidRPr="0019054D">
        <w:t xml:space="preserve">da </w:t>
      </w:r>
      <w:proofErr w:type="spellStart"/>
      <w:r w:rsidRPr="0019054D">
        <w:t>genisteína</w:t>
      </w:r>
      <w:proofErr w:type="spellEnd"/>
      <w:r w:rsidRPr="0019054D">
        <w:t xml:space="preserve"> é de 8,36 horas e </w:t>
      </w:r>
      <w:r w:rsidR="00A7059B" w:rsidRPr="0019054D">
        <w:t xml:space="preserve">da </w:t>
      </w:r>
      <w:proofErr w:type="spellStart"/>
      <w:r w:rsidRPr="0019054D">
        <w:t>daidzeína</w:t>
      </w:r>
      <w:proofErr w:type="spellEnd"/>
      <w:r w:rsidR="00A7059B" w:rsidRPr="0019054D">
        <w:t>,</w:t>
      </w:r>
      <w:r w:rsidRPr="0019054D">
        <w:t xml:space="preserve"> de 5,79 horas. </w:t>
      </w:r>
      <w:r w:rsidR="00A7059B" w:rsidRPr="0019054D">
        <w:t xml:space="preserve">Esse </w:t>
      </w:r>
      <w:r w:rsidRPr="0019054D">
        <w:t xml:space="preserve">dado indica a conveniência de administrar duas doses diárias das formulações que </w:t>
      </w:r>
      <w:r w:rsidR="00A7059B" w:rsidRPr="0019054D">
        <w:t xml:space="preserve">contêm esses </w:t>
      </w:r>
      <w:r w:rsidRPr="0019054D">
        <w:t>compostos. A excreção é predominantemente pela via urinária, sendo a excreção fecal bastante inferior</w:t>
      </w:r>
      <w:r w:rsidR="00A7059B" w:rsidRPr="0019054D">
        <w:t xml:space="preserve"> (</w:t>
      </w:r>
      <w:r w:rsidR="00A7059B" w:rsidRPr="0019054D">
        <w:rPr>
          <w:u w:val="single"/>
          <w:lang w:val="es-ES"/>
        </w:rPr>
        <w:t xml:space="preserve">MOLL </w:t>
      </w:r>
      <w:proofErr w:type="gramStart"/>
      <w:r w:rsidR="00A7059B" w:rsidRPr="0019054D">
        <w:rPr>
          <w:i/>
          <w:u w:val="single"/>
          <w:lang w:val="es-ES"/>
        </w:rPr>
        <w:t>et</w:t>
      </w:r>
      <w:proofErr w:type="gramEnd"/>
      <w:r w:rsidR="00A7059B" w:rsidRPr="0019054D">
        <w:rPr>
          <w:i/>
          <w:u w:val="single"/>
          <w:lang w:val="es-ES"/>
        </w:rPr>
        <w:t xml:space="preserve"> al</w:t>
      </w:r>
      <w:r w:rsidR="00A7059B" w:rsidRPr="0019054D">
        <w:rPr>
          <w:u w:val="single"/>
          <w:lang w:val="es-ES"/>
        </w:rPr>
        <w:t>., 2000)</w:t>
      </w:r>
      <w:r w:rsidRPr="0019054D">
        <w:t xml:space="preserve">. </w:t>
      </w:r>
    </w:p>
    <w:p w:rsidR="000C6DF8" w:rsidRPr="00C804D3" w:rsidRDefault="00C804D3" w:rsidP="00C804D3">
      <w:pPr>
        <w:spacing w:before="100" w:beforeAutospacing="1" w:after="100" w:afterAutospacing="1"/>
        <w:jc w:val="both"/>
        <w:rPr>
          <w:b/>
        </w:rPr>
      </w:pPr>
      <w:proofErr w:type="gramStart"/>
      <w:r>
        <w:rPr>
          <w:b/>
        </w:rPr>
        <w:lastRenderedPageBreak/>
        <w:t>4.</w:t>
      </w:r>
      <w:proofErr w:type="gramEnd"/>
      <w:r w:rsidR="008347A6" w:rsidRPr="00C804D3">
        <w:rPr>
          <w:b/>
        </w:rPr>
        <w:t>CONTRA</w:t>
      </w:r>
      <w:r w:rsidR="00953BCA" w:rsidRPr="00C804D3">
        <w:rPr>
          <w:b/>
        </w:rPr>
        <w:t>INDICAÇÕES</w:t>
      </w:r>
    </w:p>
    <w:p w:rsidR="000C6DF8" w:rsidRDefault="000C6DF8" w:rsidP="000C6DF8">
      <w:pPr>
        <w:pStyle w:val="PargrafodaLista"/>
        <w:jc w:val="both"/>
        <w:rPr>
          <w:b/>
        </w:rPr>
      </w:pPr>
    </w:p>
    <w:p w:rsidR="000C6DF8" w:rsidRDefault="000C6DF8" w:rsidP="000C6DF8">
      <w:pPr>
        <w:pStyle w:val="PargrafodaLista"/>
        <w:ind w:left="0"/>
        <w:jc w:val="both"/>
        <w:rPr>
          <w:b/>
        </w:rPr>
      </w:pPr>
      <w:r w:rsidRPr="000C6DF8">
        <w:rPr>
          <w:b/>
        </w:rPr>
        <w:t>Este medicamento é contraindicado para menores de 12 anos.</w:t>
      </w:r>
    </w:p>
    <w:p w:rsidR="000C6DF8" w:rsidRPr="000C6DF8" w:rsidRDefault="000C6DF8" w:rsidP="000C6DF8">
      <w:pPr>
        <w:pStyle w:val="PargrafodaLista"/>
        <w:ind w:left="0"/>
        <w:jc w:val="both"/>
        <w:rPr>
          <w:b/>
        </w:rPr>
      </w:pPr>
    </w:p>
    <w:p w:rsidR="008347A6" w:rsidRPr="0019054D" w:rsidRDefault="008347A6" w:rsidP="0019054D">
      <w:pPr>
        <w:contextualSpacing/>
        <w:jc w:val="both"/>
      </w:pPr>
      <w:r w:rsidRPr="0019054D">
        <w:t>Pacientes com histórico de hipersensibilidade e alergia a qualquer um dos componentes da fórmula não devem fazer uso deste medicamento.</w:t>
      </w:r>
    </w:p>
    <w:p w:rsidR="000C6DF8" w:rsidRPr="00BE174D" w:rsidRDefault="000C6DF8" w:rsidP="0019054D">
      <w:pPr>
        <w:contextualSpacing/>
        <w:jc w:val="both"/>
        <w:rPr>
          <w:u w:val="single"/>
        </w:rPr>
      </w:pPr>
    </w:p>
    <w:p w:rsidR="008347A6" w:rsidRDefault="008347A6" w:rsidP="0019054D">
      <w:pPr>
        <w:numPr>
          <w:ilvl w:val="0"/>
          <w:numId w:val="3"/>
        </w:numPr>
        <w:ind w:left="284" w:hanging="284"/>
        <w:contextualSpacing/>
        <w:jc w:val="both"/>
        <w:rPr>
          <w:b/>
        </w:rPr>
      </w:pPr>
      <w:r w:rsidRPr="0019054D">
        <w:rPr>
          <w:b/>
        </w:rPr>
        <w:t>ADVERTÊNCIAS E PRECAUÇÕES</w:t>
      </w:r>
    </w:p>
    <w:p w:rsidR="000C6DF8" w:rsidRPr="0019054D" w:rsidRDefault="000C6DF8" w:rsidP="000C6DF8">
      <w:pPr>
        <w:ind w:left="284"/>
        <w:contextualSpacing/>
        <w:jc w:val="both"/>
        <w:rPr>
          <w:b/>
        </w:rPr>
      </w:pPr>
    </w:p>
    <w:p w:rsidR="008347A6" w:rsidRPr="0019054D" w:rsidRDefault="008347A6" w:rsidP="0019054D">
      <w:pPr>
        <w:contextualSpacing/>
        <w:jc w:val="both"/>
      </w:pPr>
      <w:r w:rsidRPr="0019054D">
        <w:t>Em caso de hipersensibilidade ao produto, recomenda-se descontinuar o uso e consultar o médico.</w:t>
      </w:r>
    </w:p>
    <w:p w:rsidR="008347A6" w:rsidRPr="0019054D" w:rsidRDefault="008347A6" w:rsidP="0019054D">
      <w:pPr>
        <w:contextualSpacing/>
        <w:jc w:val="both"/>
      </w:pPr>
      <w:r w:rsidRPr="0019054D">
        <w:t>Pode ocorrer reação alérgica cruzada com o amendoim.</w:t>
      </w:r>
    </w:p>
    <w:p w:rsidR="00F75875" w:rsidRDefault="00F75875" w:rsidP="0019054D">
      <w:pPr>
        <w:contextualSpacing/>
        <w:jc w:val="both"/>
      </w:pPr>
    </w:p>
    <w:p w:rsidR="008347A6" w:rsidRPr="0019054D" w:rsidRDefault="008347A6" w:rsidP="0019054D">
      <w:pPr>
        <w:contextualSpacing/>
        <w:jc w:val="both"/>
      </w:pPr>
      <w:r w:rsidRPr="0019054D">
        <w:t xml:space="preserve">De acordo com a categoria de risco de fármacos destinados às mulheres grávidas, este medicamento apresenta categoria de risco C. Não há estudos disponíveis sobre a </w:t>
      </w:r>
      <w:proofErr w:type="spellStart"/>
      <w:r w:rsidRPr="0019054D">
        <w:t>teratogenicidade</w:t>
      </w:r>
      <w:proofErr w:type="spellEnd"/>
      <w:r w:rsidRPr="0019054D">
        <w:t xml:space="preserve"> de preparações com alta concentração de </w:t>
      </w:r>
      <w:proofErr w:type="spellStart"/>
      <w:r w:rsidRPr="0019054D">
        <w:t>isoflavonas</w:t>
      </w:r>
      <w:proofErr w:type="spellEnd"/>
      <w:r w:rsidRPr="0019054D">
        <w:t xml:space="preserve">, bem como não há evidências científicas disponíveis sobre a segurança de seu uso durante a gestação e lactação, devendo seu emprego </w:t>
      </w:r>
      <w:proofErr w:type="gramStart"/>
      <w:r w:rsidRPr="0019054D">
        <w:t>ser</w:t>
      </w:r>
      <w:proofErr w:type="gramEnd"/>
      <w:r w:rsidRPr="0019054D">
        <w:t xml:space="preserve"> evitado nessas condições.</w:t>
      </w:r>
    </w:p>
    <w:p w:rsidR="00F75875" w:rsidRPr="00F75875" w:rsidRDefault="00F75875" w:rsidP="00F75875">
      <w:pPr>
        <w:autoSpaceDE w:val="0"/>
        <w:autoSpaceDN w:val="0"/>
        <w:adjustRightInd w:val="0"/>
        <w:jc w:val="both"/>
        <w:rPr>
          <w:b/>
        </w:rPr>
      </w:pPr>
      <w:r w:rsidRPr="00F75875">
        <w:rPr>
          <w:b/>
        </w:rPr>
        <w:t>Este medicamento não deve ser utilizado por mulheres grávidas e em amamentação sem orientação médica ou do cirurgião-dentista.</w:t>
      </w:r>
    </w:p>
    <w:p w:rsidR="00F75875" w:rsidRPr="00F75875" w:rsidRDefault="00F75875" w:rsidP="00F75875">
      <w:pPr>
        <w:pStyle w:val="PargrafodaLista"/>
        <w:autoSpaceDE w:val="0"/>
        <w:autoSpaceDN w:val="0"/>
        <w:adjustRightInd w:val="0"/>
        <w:jc w:val="both"/>
        <w:rPr>
          <w:b/>
        </w:rPr>
      </w:pPr>
    </w:p>
    <w:p w:rsidR="008347A6" w:rsidRDefault="008347A6" w:rsidP="0019054D">
      <w:pPr>
        <w:numPr>
          <w:ilvl w:val="0"/>
          <w:numId w:val="3"/>
        </w:numPr>
        <w:ind w:left="284" w:hanging="284"/>
        <w:contextualSpacing/>
        <w:jc w:val="both"/>
        <w:rPr>
          <w:b/>
        </w:rPr>
      </w:pPr>
      <w:r w:rsidRPr="0019054D">
        <w:rPr>
          <w:b/>
        </w:rPr>
        <w:t>INTERAÇÕES MEDICAMENTOSAS</w:t>
      </w:r>
    </w:p>
    <w:p w:rsidR="00C804D3" w:rsidRPr="0019054D" w:rsidRDefault="00C804D3" w:rsidP="00C804D3">
      <w:pPr>
        <w:ind w:left="284"/>
        <w:contextualSpacing/>
        <w:jc w:val="both"/>
        <w:rPr>
          <w:b/>
        </w:rPr>
      </w:pPr>
    </w:p>
    <w:p w:rsidR="008347A6" w:rsidRPr="0019054D" w:rsidRDefault="008347A6" w:rsidP="0019054D">
      <w:pPr>
        <w:contextualSpacing/>
        <w:jc w:val="both"/>
      </w:pPr>
      <w:r w:rsidRPr="0019054D">
        <w:t xml:space="preserve">Evitar a associação deste medicamento </w:t>
      </w:r>
      <w:r w:rsidR="00953BCA" w:rsidRPr="0019054D">
        <w:t xml:space="preserve">com </w:t>
      </w:r>
      <w:r w:rsidRPr="0019054D">
        <w:t>contraceptivos e outros medicamentos de ação estrogênica</w:t>
      </w:r>
      <w:r w:rsidR="00953BCA" w:rsidRPr="0019054D">
        <w:t xml:space="preserve"> (</w:t>
      </w:r>
      <w:r w:rsidR="00F75875">
        <w:rPr>
          <w:u w:val="single"/>
        </w:rPr>
        <w:t>Y</w:t>
      </w:r>
      <w:r w:rsidR="0039499E">
        <w:rPr>
          <w:u w:val="single"/>
        </w:rPr>
        <w:t>IM</w:t>
      </w:r>
      <w:r w:rsidR="00953BCA" w:rsidRPr="0019054D">
        <w:rPr>
          <w:u w:val="single"/>
        </w:rPr>
        <w:t xml:space="preserve"> </w:t>
      </w:r>
      <w:proofErr w:type="gramStart"/>
      <w:r w:rsidR="00953BCA" w:rsidRPr="0019054D">
        <w:rPr>
          <w:i/>
          <w:u w:val="single"/>
        </w:rPr>
        <w:t>et</w:t>
      </w:r>
      <w:proofErr w:type="gramEnd"/>
      <w:r w:rsidR="00953BCA" w:rsidRPr="0019054D">
        <w:rPr>
          <w:i/>
          <w:u w:val="single"/>
        </w:rPr>
        <w:t xml:space="preserve"> al</w:t>
      </w:r>
      <w:r w:rsidR="00953BCA" w:rsidRPr="0019054D">
        <w:rPr>
          <w:u w:val="single"/>
        </w:rPr>
        <w:t>.,</w:t>
      </w:r>
      <w:r w:rsidR="00F75875">
        <w:rPr>
          <w:u w:val="single"/>
        </w:rPr>
        <w:t xml:space="preserve"> 2000</w:t>
      </w:r>
      <w:r w:rsidR="00953BCA" w:rsidRPr="0019054D">
        <w:rPr>
          <w:u w:val="single"/>
        </w:rPr>
        <w:t>)</w:t>
      </w:r>
      <w:r w:rsidRPr="0019054D">
        <w:t xml:space="preserve">. </w:t>
      </w:r>
    </w:p>
    <w:p w:rsidR="008347A6" w:rsidRPr="0019054D" w:rsidRDefault="008347A6" w:rsidP="0019054D">
      <w:pPr>
        <w:contextualSpacing/>
        <w:jc w:val="both"/>
      </w:pPr>
      <w:r w:rsidRPr="0019054D">
        <w:t xml:space="preserve">A efetividade do </w:t>
      </w:r>
      <w:proofErr w:type="spellStart"/>
      <w:r w:rsidRPr="0019054D">
        <w:t>tamoxifeno</w:t>
      </w:r>
      <w:proofErr w:type="spellEnd"/>
      <w:r w:rsidRPr="0019054D">
        <w:t xml:space="preserve"> pode ser diminuída por medicamentos à base de soja</w:t>
      </w:r>
      <w:r w:rsidR="00AD03E4" w:rsidRPr="0019054D">
        <w:t xml:space="preserve"> (</w:t>
      </w:r>
      <w:hyperlink r:id="rId6" w:history="1">
        <w:r w:rsidR="00D91CF2" w:rsidRPr="00F75875">
          <w:rPr>
            <w:u w:val="single"/>
          </w:rPr>
          <w:t>J</w:t>
        </w:r>
        <w:r w:rsidR="00AD03E4" w:rsidRPr="0019054D">
          <w:rPr>
            <w:u w:val="single"/>
          </w:rPr>
          <w:t>U</w:t>
        </w:r>
        <w:r w:rsidR="00D91CF2" w:rsidRPr="00F75875">
          <w:rPr>
            <w:u w:val="single"/>
          </w:rPr>
          <w:t xml:space="preserve"> </w:t>
        </w:r>
      </w:hyperlink>
      <w:r w:rsidR="00D91CF2" w:rsidRPr="00F75875">
        <w:rPr>
          <w:u w:val="single"/>
        </w:rPr>
        <w:t xml:space="preserve"> </w:t>
      </w:r>
      <w:proofErr w:type="gramStart"/>
      <w:r w:rsidR="00D91CF2" w:rsidRPr="00F75875">
        <w:rPr>
          <w:i/>
          <w:u w:val="single"/>
        </w:rPr>
        <w:t>et</w:t>
      </w:r>
      <w:proofErr w:type="gramEnd"/>
      <w:r w:rsidR="00D91CF2" w:rsidRPr="00F75875">
        <w:rPr>
          <w:i/>
          <w:u w:val="single"/>
        </w:rPr>
        <w:t xml:space="preserve"> al</w:t>
      </w:r>
      <w:r w:rsidR="00D91CF2" w:rsidRPr="00F75875">
        <w:rPr>
          <w:u w:val="single"/>
        </w:rPr>
        <w:t>.</w:t>
      </w:r>
      <w:r w:rsidR="00AD03E4" w:rsidRPr="0019054D">
        <w:rPr>
          <w:u w:val="single"/>
        </w:rPr>
        <w:t>, 2002).</w:t>
      </w:r>
    </w:p>
    <w:p w:rsidR="008347A6" w:rsidRPr="0019054D" w:rsidRDefault="008347A6" w:rsidP="0019054D">
      <w:pPr>
        <w:contextualSpacing/>
        <w:jc w:val="both"/>
      </w:pPr>
      <w:r w:rsidRPr="0019054D">
        <w:t xml:space="preserve">A proteína da soja pode reduzir a absorção de </w:t>
      </w:r>
      <w:proofErr w:type="spellStart"/>
      <w:r w:rsidRPr="0019054D">
        <w:t>levotiroxina</w:t>
      </w:r>
      <w:proofErr w:type="spellEnd"/>
      <w:r w:rsidRPr="0019054D">
        <w:t xml:space="preserve"> n</w:t>
      </w:r>
      <w:bookmarkStart w:id="0" w:name="_GoBack"/>
      <w:bookmarkEnd w:id="0"/>
      <w:r w:rsidRPr="0019054D">
        <w:t xml:space="preserve">o trato digestivo, portanto não se </w:t>
      </w:r>
      <w:proofErr w:type="gramStart"/>
      <w:r w:rsidRPr="0019054D">
        <w:t>deve tomar</w:t>
      </w:r>
      <w:proofErr w:type="gramEnd"/>
      <w:r w:rsidRPr="0019054D">
        <w:t xml:space="preserve"> os dois medicamentos ao mesmo tempo</w:t>
      </w:r>
      <w:r w:rsidR="00AD03E4" w:rsidRPr="0019054D">
        <w:t xml:space="preserve">. É necessário </w:t>
      </w:r>
      <w:r w:rsidRPr="0019054D">
        <w:t>aguardar 2 horas entre uma e outra tomada</w:t>
      </w:r>
      <w:r w:rsidR="00AD03E4" w:rsidRPr="0019054D">
        <w:t xml:space="preserve"> (</w:t>
      </w:r>
      <w:r w:rsidR="00AD03E4" w:rsidRPr="0019054D">
        <w:rPr>
          <w:u w:val="single"/>
        </w:rPr>
        <w:t>TSOURONIS, 2001)</w:t>
      </w:r>
      <w:r w:rsidRPr="0019054D">
        <w:t xml:space="preserve">. As </w:t>
      </w:r>
      <w:proofErr w:type="spellStart"/>
      <w:r w:rsidRPr="0019054D">
        <w:t>isoflavonas</w:t>
      </w:r>
      <w:proofErr w:type="spellEnd"/>
      <w:r w:rsidRPr="0019054D">
        <w:t xml:space="preserve"> </w:t>
      </w:r>
      <w:proofErr w:type="spellStart"/>
      <w:r w:rsidRPr="0019054D">
        <w:t>geniste</w:t>
      </w:r>
      <w:r w:rsidR="00AD03E4" w:rsidRPr="0019054D">
        <w:t>í</w:t>
      </w:r>
      <w:r w:rsidRPr="0019054D">
        <w:t>na</w:t>
      </w:r>
      <w:proofErr w:type="spellEnd"/>
      <w:r w:rsidRPr="0019054D">
        <w:t xml:space="preserve"> e </w:t>
      </w:r>
      <w:proofErr w:type="spellStart"/>
      <w:r w:rsidRPr="0019054D">
        <w:t>daidze</w:t>
      </w:r>
      <w:r w:rsidR="00AD03E4" w:rsidRPr="0019054D">
        <w:t>í</w:t>
      </w:r>
      <w:r w:rsidRPr="0019054D">
        <w:t>na</w:t>
      </w:r>
      <w:proofErr w:type="spellEnd"/>
      <w:r w:rsidRPr="0019054D">
        <w:t xml:space="preserve"> podem bloquear a </w:t>
      </w:r>
      <w:proofErr w:type="spellStart"/>
      <w:r w:rsidRPr="0019054D">
        <w:t>tireóide</w:t>
      </w:r>
      <w:proofErr w:type="spellEnd"/>
      <w:r w:rsidRPr="0019054D">
        <w:t xml:space="preserve"> </w:t>
      </w:r>
      <w:proofErr w:type="spellStart"/>
      <w:r w:rsidRPr="0019054D">
        <w:t>peroxidase</w:t>
      </w:r>
      <w:proofErr w:type="spellEnd"/>
      <w:r w:rsidRPr="0019054D">
        <w:t xml:space="preserve"> e inibir a síntese de tiroxina. Pode ocorrer hipotireoidismo durante tratamentos prolongados</w:t>
      </w:r>
      <w:r w:rsidR="00AD03E4" w:rsidRPr="0019054D">
        <w:t xml:space="preserve"> (</w:t>
      </w:r>
      <w:r w:rsidR="00AD03E4" w:rsidRPr="0019054D">
        <w:rPr>
          <w:u w:val="single"/>
        </w:rPr>
        <w:t>DIVI</w:t>
      </w:r>
      <w:r w:rsidR="00D91CF2" w:rsidRPr="00F75875">
        <w:rPr>
          <w:u w:val="single"/>
        </w:rPr>
        <w:t xml:space="preserve"> </w:t>
      </w:r>
      <w:proofErr w:type="gramStart"/>
      <w:r w:rsidR="00D91CF2" w:rsidRPr="00F75875">
        <w:rPr>
          <w:i/>
          <w:u w:val="single"/>
        </w:rPr>
        <w:t>et</w:t>
      </w:r>
      <w:proofErr w:type="gramEnd"/>
      <w:r w:rsidR="00D91CF2" w:rsidRPr="00F75875">
        <w:rPr>
          <w:i/>
          <w:u w:val="single"/>
        </w:rPr>
        <w:t xml:space="preserve"> al</w:t>
      </w:r>
      <w:r w:rsidR="00D91CF2" w:rsidRPr="00F75875">
        <w:rPr>
          <w:u w:val="single"/>
        </w:rPr>
        <w:t>.,</w:t>
      </w:r>
      <w:r w:rsidR="00AD03E4" w:rsidRPr="0019054D">
        <w:rPr>
          <w:u w:val="single"/>
        </w:rPr>
        <w:t xml:space="preserve"> 1997)</w:t>
      </w:r>
      <w:r w:rsidRPr="0019054D">
        <w:t xml:space="preserve">. </w:t>
      </w:r>
    </w:p>
    <w:p w:rsidR="008347A6" w:rsidRDefault="008347A6" w:rsidP="0019054D">
      <w:pPr>
        <w:contextualSpacing/>
        <w:jc w:val="both"/>
      </w:pPr>
      <w:r w:rsidRPr="0019054D">
        <w:t xml:space="preserve">O uso de medicamentos que alteram a </w:t>
      </w:r>
      <w:r w:rsidR="00AD03E4" w:rsidRPr="0019054D">
        <w:t xml:space="preserve">microbiota </w:t>
      </w:r>
      <w:r w:rsidRPr="0019054D">
        <w:t xml:space="preserve">intestinal, como os antibióticos, pode interferir </w:t>
      </w:r>
      <w:r w:rsidR="00AD03E4" w:rsidRPr="0019054D">
        <w:t>no</w:t>
      </w:r>
      <w:r w:rsidRPr="0019054D">
        <w:t xml:space="preserve"> metabolismo das </w:t>
      </w:r>
      <w:proofErr w:type="spellStart"/>
      <w:r w:rsidRPr="0019054D">
        <w:t>isoflavonas</w:t>
      </w:r>
      <w:proofErr w:type="spellEnd"/>
      <w:r w:rsidRPr="0019054D">
        <w:t>. São enzimas produzidas pelos micro</w:t>
      </w:r>
      <w:r w:rsidR="00F75875">
        <w:t>-o</w:t>
      </w:r>
      <w:r w:rsidRPr="0019054D">
        <w:t xml:space="preserve">rganismos do trato intestinal que hidrolisam as </w:t>
      </w:r>
      <w:proofErr w:type="spellStart"/>
      <w:r w:rsidRPr="0019054D">
        <w:t>isoflavonas</w:t>
      </w:r>
      <w:proofErr w:type="spellEnd"/>
      <w:r w:rsidRPr="0019054D">
        <w:t xml:space="preserve"> conjugadas para a formação de </w:t>
      </w:r>
      <w:proofErr w:type="spellStart"/>
      <w:r w:rsidRPr="0019054D">
        <w:t>isoflavonas</w:t>
      </w:r>
      <w:proofErr w:type="spellEnd"/>
      <w:r w:rsidRPr="0019054D">
        <w:t xml:space="preserve"> </w:t>
      </w:r>
      <w:proofErr w:type="spellStart"/>
      <w:r w:rsidRPr="0019054D">
        <w:t>agliconas</w:t>
      </w:r>
      <w:proofErr w:type="spellEnd"/>
      <w:r w:rsidRPr="0019054D">
        <w:t xml:space="preserve"> ativas</w:t>
      </w:r>
      <w:r w:rsidR="00AD03E4" w:rsidRPr="0019054D">
        <w:t xml:space="preserve"> (</w:t>
      </w:r>
      <w:r w:rsidR="00D91CF2" w:rsidRPr="00F75875">
        <w:rPr>
          <w:u w:val="single"/>
        </w:rPr>
        <w:t>T</w:t>
      </w:r>
      <w:r w:rsidR="00AD03E4" w:rsidRPr="0019054D">
        <w:rPr>
          <w:u w:val="single"/>
        </w:rPr>
        <w:t>SOURONIS</w:t>
      </w:r>
      <w:r w:rsidR="00D91CF2" w:rsidRPr="00F75875">
        <w:rPr>
          <w:u w:val="single"/>
        </w:rPr>
        <w:t>, 2001)</w:t>
      </w:r>
      <w:r w:rsidRPr="0019054D">
        <w:t xml:space="preserve">. </w:t>
      </w:r>
    </w:p>
    <w:p w:rsidR="00F75875" w:rsidRDefault="00F75875" w:rsidP="0019054D">
      <w:pPr>
        <w:contextualSpacing/>
        <w:jc w:val="both"/>
      </w:pPr>
    </w:p>
    <w:p w:rsidR="008347A6" w:rsidRDefault="008347A6" w:rsidP="0019054D">
      <w:pPr>
        <w:numPr>
          <w:ilvl w:val="0"/>
          <w:numId w:val="3"/>
        </w:numPr>
        <w:ind w:left="284" w:hanging="284"/>
        <w:contextualSpacing/>
        <w:jc w:val="both"/>
        <w:rPr>
          <w:b/>
          <w:bCs/>
        </w:rPr>
      </w:pPr>
      <w:r w:rsidRPr="0019054D">
        <w:rPr>
          <w:b/>
          <w:bCs/>
        </w:rPr>
        <w:t>CUIDADOS DE ARMAZENAMENTO DO MEDICAMENTO</w:t>
      </w:r>
    </w:p>
    <w:p w:rsidR="00F75875" w:rsidRPr="0019054D" w:rsidRDefault="00F75875" w:rsidP="00F75875">
      <w:pPr>
        <w:ind w:left="284"/>
        <w:contextualSpacing/>
        <w:jc w:val="both"/>
        <w:rPr>
          <w:b/>
          <w:bCs/>
        </w:rPr>
      </w:pPr>
    </w:p>
    <w:p w:rsidR="008347A6" w:rsidRDefault="008347A6" w:rsidP="0019054D">
      <w:pPr>
        <w:contextualSpacing/>
        <w:jc w:val="both"/>
        <w:rPr>
          <w:u w:val="single"/>
        </w:rPr>
      </w:pPr>
      <w:r w:rsidRPr="0019054D">
        <w:rPr>
          <w:u w:val="single"/>
        </w:rPr>
        <w:t xml:space="preserve">Descrever os cuidados específicos para o armazenamento do medicamento e informar o prazo de validade do medicamento a partir da data de fabricação, aprovado no registro, citando o número de meses.  </w:t>
      </w:r>
    </w:p>
    <w:p w:rsidR="00F75875" w:rsidRPr="0019054D" w:rsidRDefault="00F75875" w:rsidP="0019054D">
      <w:pPr>
        <w:contextualSpacing/>
        <w:jc w:val="both"/>
        <w:rPr>
          <w:u w:val="single"/>
        </w:rPr>
      </w:pPr>
    </w:p>
    <w:p w:rsidR="008347A6" w:rsidRPr="0019054D" w:rsidRDefault="008347A6" w:rsidP="0019054D">
      <w:pPr>
        <w:pStyle w:val="Corpodetexto"/>
        <w:spacing w:after="0"/>
        <w:contextualSpacing/>
        <w:jc w:val="both"/>
        <w:rPr>
          <w:b/>
        </w:rPr>
      </w:pPr>
      <w:r w:rsidRPr="0019054D">
        <w:rPr>
          <w:b/>
        </w:rPr>
        <w:t>Número de lote e datas de fabrica</w:t>
      </w:r>
      <w:r w:rsidR="00AD03E4" w:rsidRPr="0019054D">
        <w:rPr>
          <w:b/>
        </w:rPr>
        <w:t>ção e validade: vide embalagem.</w:t>
      </w:r>
    </w:p>
    <w:p w:rsidR="00BE174D" w:rsidRDefault="008347A6" w:rsidP="00BE174D">
      <w:pPr>
        <w:jc w:val="both"/>
        <w:rPr>
          <w:b/>
        </w:rPr>
      </w:pPr>
      <w:r w:rsidRPr="0019054D">
        <w:rPr>
          <w:b/>
        </w:rPr>
        <w:t>Não use medicamento c</w:t>
      </w:r>
      <w:r w:rsidR="00AD03E4" w:rsidRPr="0019054D">
        <w:rPr>
          <w:b/>
        </w:rPr>
        <w:t>om o prazo de validade vencido.</w:t>
      </w:r>
      <w:r w:rsidRPr="0019054D">
        <w:rPr>
          <w:b/>
        </w:rPr>
        <w:t xml:space="preserve"> </w:t>
      </w:r>
      <w:r w:rsidR="00BE174D" w:rsidRPr="00DA3B63">
        <w:rPr>
          <w:b/>
        </w:rPr>
        <w:t>Guarde-o em sua embalagem original.</w:t>
      </w:r>
    </w:p>
    <w:p w:rsidR="00F75875" w:rsidRDefault="00F75875" w:rsidP="00BE174D">
      <w:pPr>
        <w:jc w:val="both"/>
        <w:rPr>
          <w:b/>
        </w:rPr>
      </w:pPr>
    </w:p>
    <w:p w:rsidR="00AD03E4" w:rsidRDefault="00AD03E4" w:rsidP="0019054D">
      <w:pPr>
        <w:jc w:val="both"/>
        <w:rPr>
          <w:color w:val="080900"/>
        </w:rPr>
      </w:pPr>
      <w:r w:rsidRPr="0019054D">
        <w:rPr>
          <w:color w:val="080900"/>
          <w:u w:val="single"/>
        </w:rPr>
        <w:t xml:space="preserve">Descrever os cuidados específicos de conservação para medicamentos que uma vez abertos ou preparados para o uso sofram redução do prazo de validade original ou </w:t>
      </w:r>
      <w:r w:rsidRPr="0019054D">
        <w:rPr>
          <w:color w:val="080900"/>
          <w:u w:val="single"/>
        </w:rPr>
        <w:lastRenderedPageBreak/>
        <w:t>alteração do cuidado de conservação original, incluindo uma das seguintes frases, em negrito</w:t>
      </w:r>
      <w:r w:rsidRPr="0019054D">
        <w:rPr>
          <w:b/>
          <w:color w:val="080900"/>
        </w:rPr>
        <w:t>:</w:t>
      </w:r>
      <w:r w:rsidRPr="0019054D">
        <w:rPr>
          <w:b/>
          <w:color w:val="080900"/>
        </w:rPr>
        <w:cr/>
        <w:t>Após aberto, válido por _____</w:t>
      </w:r>
      <w:r w:rsidRPr="0019054D">
        <w:rPr>
          <w:color w:val="080900"/>
        </w:rPr>
        <w:t xml:space="preserve"> (</w:t>
      </w:r>
      <w:r w:rsidRPr="0019054D">
        <w:rPr>
          <w:color w:val="080900"/>
          <w:u w:val="single"/>
        </w:rPr>
        <w:t>indicando o tempo de validade após aberto, conforme estudos de estabilidade do medicamento</w:t>
      </w:r>
      <w:proofErr w:type="gramStart"/>
      <w:r w:rsidRPr="0019054D">
        <w:rPr>
          <w:color w:val="080900"/>
        </w:rPr>
        <w:t>)</w:t>
      </w:r>
      <w:proofErr w:type="gramEnd"/>
      <w:r w:rsidRPr="0019054D">
        <w:rPr>
          <w:color w:val="080900"/>
        </w:rPr>
        <w:t xml:space="preserve"> </w:t>
      </w:r>
      <w:r w:rsidRPr="0019054D">
        <w:rPr>
          <w:color w:val="080900"/>
        </w:rPr>
        <w:cr/>
      </w:r>
      <w:r w:rsidRPr="0019054D">
        <w:rPr>
          <w:b/>
          <w:color w:val="080900"/>
        </w:rPr>
        <w:t>Após preparo, manter _____ por ____</w:t>
      </w:r>
      <w:r w:rsidRPr="0019054D">
        <w:rPr>
          <w:color w:val="080900"/>
        </w:rPr>
        <w:t xml:space="preserve"> (</w:t>
      </w:r>
      <w:r w:rsidRPr="0019054D">
        <w:rPr>
          <w:color w:val="080900"/>
          <w:u w:val="single"/>
        </w:rPr>
        <w:t>indicando o cuidado de conservação e o tempo de validade após preparo, conforme estudos de estabilidade do medicamento</w:t>
      </w:r>
      <w:proofErr w:type="gramStart"/>
      <w:r w:rsidRPr="0019054D">
        <w:rPr>
          <w:color w:val="080900"/>
        </w:rPr>
        <w:t>)</w:t>
      </w:r>
      <w:proofErr w:type="gramEnd"/>
      <w:r w:rsidRPr="0019054D">
        <w:rPr>
          <w:color w:val="080900"/>
        </w:rPr>
        <w:t xml:space="preserve"> </w:t>
      </w:r>
    </w:p>
    <w:p w:rsidR="00F75875" w:rsidRPr="0019054D" w:rsidRDefault="00F75875" w:rsidP="0019054D">
      <w:pPr>
        <w:jc w:val="both"/>
        <w:rPr>
          <w:color w:val="080900"/>
        </w:rPr>
      </w:pPr>
    </w:p>
    <w:p w:rsidR="008347A6" w:rsidRDefault="008347A6" w:rsidP="0019054D">
      <w:pPr>
        <w:contextualSpacing/>
        <w:jc w:val="both"/>
        <w:rPr>
          <w:u w:val="single"/>
        </w:rPr>
      </w:pPr>
      <w:r w:rsidRPr="0019054D">
        <w:rPr>
          <w:u w:val="single"/>
        </w:rPr>
        <w:t>Descrever as características físicas e organolépticas do produto e outras características do medicamento, inclusive após a reconstituição e/ou diluição.</w:t>
      </w:r>
    </w:p>
    <w:p w:rsidR="00F75875" w:rsidRPr="0019054D" w:rsidRDefault="00F75875" w:rsidP="0019054D">
      <w:pPr>
        <w:contextualSpacing/>
        <w:jc w:val="both"/>
        <w:rPr>
          <w:u w:val="single"/>
        </w:rPr>
      </w:pPr>
    </w:p>
    <w:p w:rsidR="008347A6" w:rsidRPr="0019054D" w:rsidRDefault="008347A6" w:rsidP="0019054D">
      <w:pPr>
        <w:contextualSpacing/>
        <w:jc w:val="both"/>
        <w:rPr>
          <w:b/>
        </w:rPr>
      </w:pPr>
      <w:r w:rsidRPr="0019054D">
        <w:rPr>
          <w:b/>
        </w:rPr>
        <w:t>Antes de usar, ob</w:t>
      </w:r>
      <w:r w:rsidR="00AD03E4" w:rsidRPr="0019054D">
        <w:rPr>
          <w:b/>
        </w:rPr>
        <w:t>serve o aspecto do medicamento.</w:t>
      </w:r>
    </w:p>
    <w:p w:rsidR="008347A6" w:rsidRDefault="008347A6" w:rsidP="0019054D">
      <w:pPr>
        <w:contextualSpacing/>
        <w:jc w:val="both"/>
        <w:rPr>
          <w:b/>
        </w:rPr>
      </w:pPr>
      <w:r w:rsidRPr="0019054D">
        <w:rPr>
          <w:b/>
        </w:rPr>
        <w:t>Todo medicamento deve ser manti</w:t>
      </w:r>
      <w:r w:rsidR="00AD03E4" w:rsidRPr="0019054D">
        <w:rPr>
          <w:b/>
        </w:rPr>
        <w:t>do fora do alcance das crianças.</w:t>
      </w:r>
      <w:r w:rsidRPr="0019054D">
        <w:rPr>
          <w:b/>
        </w:rPr>
        <w:t xml:space="preserve"> </w:t>
      </w:r>
    </w:p>
    <w:p w:rsidR="00F75875" w:rsidRPr="0019054D" w:rsidRDefault="00F75875" w:rsidP="0019054D">
      <w:pPr>
        <w:contextualSpacing/>
        <w:jc w:val="both"/>
        <w:rPr>
          <w:b/>
        </w:rPr>
      </w:pPr>
    </w:p>
    <w:p w:rsidR="008347A6" w:rsidRPr="0019054D" w:rsidRDefault="008347A6" w:rsidP="0019054D">
      <w:pPr>
        <w:contextualSpacing/>
        <w:jc w:val="both"/>
        <w:rPr>
          <w:b/>
          <w:bCs/>
        </w:rPr>
      </w:pPr>
      <w:r w:rsidRPr="0019054D">
        <w:rPr>
          <w:b/>
        </w:rPr>
        <w:t>8.</w:t>
      </w:r>
      <w:r w:rsidRPr="0019054D">
        <w:rPr>
          <w:b/>
          <w:bCs/>
        </w:rPr>
        <w:t xml:space="preserve"> POSOLOGIA E MODO DE USAR</w:t>
      </w:r>
    </w:p>
    <w:p w:rsidR="008347A6" w:rsidRPr="0019054D" w:rsidRDefault="008347A6" w:rsidP="0019054D">
      <w:pPr>
        <w:contextualSpacing/>
        <w:jc w:val="both"/>
      </w:pPr>
    </w:p>
    <w:p w:rsidR="007D2FF0" w:rsidRDefault="007D2FF0" w:rsidP="00F75875">
      <w:pPr>
        <w:autoSpaceDE w:val="0"/>
        <w:autoSpaceDN w:val="0"/>
        <w:adjustRightInd w:val="0"/>
        <w:jc w:val="both"/>
        <w:rPr>
          <w:u w:val="single"/>
          <w:lang w:val="es-ES"/>
        </w:rPr>
      </w:pPr>
      <w:r w:rsidRPr="0019054D">
        <w:t>Ingerir XXX (</w:t>
      </w:r>
      <w:r w:rsidRPr="0019054D">
        <w:rPr>
          <w:u w:val="single"/>
        </w:rPr>
        <w:t>inserir a unidade de medida ou unidade farmacotécnica</w:t>
      </w:r>
      <w:r w:rsidRPr="0019054D">
        <w:t>), de XXX em XXX horas</w:t>
      </w:r>
      <w:r w:rsidR="00702F15">
        <w:t>, ou a critério médico</w:t>
      </w:r>
      <w:r w:rsidRPr="0019054D">
        <w:t>. (</w:t>
      </w:r>
      <w:r w:rsidRPr="0019054D">
        <w:rPr>
          <w:u w:val="single"/>
        </w:rPr>
        <w:t xml:space="preserve">A dose diária deve estar entre </w:t>
      </w:r>
      <w:r w:rsidRPr="00F75875">
        <w:rPr>
          <w:u w:val="single"/>
        </w:rPr>
        <w:t xml:space="preserve">50 e 120 </w:t>
      </w:r>
      <w:proofErr w:type="gramStart"/>
      <w:r w:rsidRPr="00F75875">
        <w:rPr>
          <w:u w:val="single"/>
        </w:rPr>
        <w:t>mg</w:t>
      </w:r>
      <w:proofErr w:type="gramEnd"/>
      <w:r w:rsidRPr="00F75875">
        <w:rPr>
          <w:u w:val="single"/>
        </w:rPr>
        <w:t xml:space="preserve"> de </w:t>
      </w:r>
      <w:proofErr w:type="spellStart"/>
      <w:r w:rsidRPr="00F75875">
        <w:rPr>
          <w:u w:val="single"/>
        </w:rPr>
        <w:t>isoflavona</w:t>
      </w:r>
      <w:r w:rsidRPr="00702F15">
        <w:rPr>
          <w:u w:val="single"/>
        </w:rPr>
        <w:t>s</w:t>
      </w:r>
      <w:proofErr w:type="spellEnd"/>
      <w:r w:rsidR="00702F15">
        <w:rPr>
          <w:u w:val="single"/>
        </w:rPr>
        <w:t>,</w:t>
      </w:r>
      <w:r w:rsidRPr="00702F15">
        <w:rPr>
          <w:u w:val="single"/>
        </w:rPr>
        <w:t> </w:t>
      </w:r>
      <w:r w:rsidRPr="0019054D">
        <w:rPr>
          <w:u w:val="single"/>
        </w:rPr>
        <w:t xml:space="preserve"> e a empresa deve informar o valor rotulado da dose diária de seu medicamento, dentro dessa faixa, conforme aprovado no dossiê de registro</w:t>
      </w:r>
      <w:r w:rsidR="00F75875">
        <w:t xml:space="preserve">) </w:t>
      </w:r>
      <w:r w:rsidRPr="00F75875">
        <w:t>(</w:t>
      </w:r>
      <w:r w:rsidRPr="00F75875">
        <w:rPr>
          <w:u w:val="single"/>
        </w:rPr>
        <w:t xml:space="preserve">KAARI, 2003; KAARI </w:t>
      </w:r>
      <w:r w:rsidRPr="00F75875">
        <w:rPr>
          <w:i/>
          <w:u w:val="single"/>
        </w:rPr>
        <w:t>et al</w:t>
      </w:r>
      <w:r w:rsidRPr="00F75875">
        <w:rPr>
          <w:u w:val="single"/>
        </w:rPr>
        <w:t>, 2006;</w:t>
      </w:r>
      <w:r w:rsidRPr="00F75875">
        <w:rPr>
          <w:i/>
          <w:u w:val="single"/>
        </w:rPr>
        <w:t xml:space="preserve"> </w:t>
      </w:r>
      <w:r w:rsidRPr="00F75875">
        <w:rPr>
          <w:u w:val="single"/>
        </w:rPr>
        <w:t xml:space="preserve">UPMALIS </w:t>
      </w:r>
      <w:r w:rsidRPr="00F75875">
        <w:rPr>
          <w:i/>
          <w:u w:val="single"/>
        </w:rPr>
        <w:t xml:space="preserve">et al., 2000; </w:t>
      </w:r>
      <w:r w:rsidRPr="0019054D">
        <w:rPr>
          <w:u w:val="single"/>
          <w:lang w:val="es-ES"/>
        </w:rPr>
        <w:t xml:space="preserve">MOLL, </w:t>
      </w:r>
      <w:r w:rsidRPr="0019054D">
        <w:rPr>
          <w:i/>
          <w:u w:val="single"/>
          <w:lang w:val="es-ES"/>
        </w:rPr>
        <w:t>et al</w:t>
      </w:r>
      <w:r w:rsidRPr="0019054D">
        <w:rPr>
          <w:u w:val="single"/>
          <w:lang w:val="es-ES"/>
        </w:rPr>
        <w:t>., 2000).</w:t>
      </w:r>
    </w:p>
    <w:p w:rsidR="00702F15" w:rsidRPr="00F75875" w:rsidRDefault="00702F15" w:rsidP="00F75875">
      <w:pPr>
        <w:autoSpaceDE w:val="0"/>
        <w:autoSpaceDN w:val="0"/>
        <w:adjustRightInd w:val="0"/>
        <w:jc w:val="both"/>
      </w:pPr>
    </w:p>
    <w:p w:rsidR="00702F15" w:rsidRDefault="00702F15" w:rsidP="00702F15">
      <w:pPr>
        <w:jc w:val="both"/>
        <w:rPr>
          <w:u w:val="single"/>
        </w:rPr>
      </w:pPr>
      <w:r w:rsidRPr="00342F6B">
        <w:rPr>
          <w:u w:val="single"/>
        </w:rPr>
        <w:t>Incluir o risco de uso por via de administração não recomendada, quando aplicável.</w:t>
      </w:r>
    </w:p>
    <w:p w:rsidR="00702F15" w:rsidRDefault="00702F15" w:rsidP="00702F15">
      <w:r w:rsidRPr="00DD42BE">
        <w:t xml:space="preserve">Utilizar apenas a via oral. O uso deste medicamento por outra via, que não a oral, pode causar a perda do efeito esperado ou mesmo promover danos ao seu usuário. </w:t>
      </w:r>
    </w:p>
    <w:p w:rsidR="00702F15" w:rsidRDefault="00702F15" w:rsidP="00702F15">
      <w:pPr>
        <w:jc w:val="both"/>
        <w:rPr>
          <w:u w:val="single"/>
        </w:rPr>
      </w:pPr>
    </w:p>
    <w:p w:rsidR="00702F15" w:rsidRPr="00187AB4" w:rsidRDefault="00702F15" w:rsidP="00702F15">
      <w:pPr>
        <w:autoSpaceDE w:val="0"/>
        <w:autoSpaceDN w:val="0"/>
        <w:jc w:val="both"/>
        <w:rPr>
          <w:u w:val="single"/>
        </w:rPr>
      </w:pPr>
      <w:r w:rsidRPr="00187AB4">
        <w:rPr>
          <w:u w:val="single"/>
        </w:rPr>
        <w:t>Para soluções para diluição ou pós ou granulados para solução, suspensão ou emulsão de</w:t>
      </w:r>
      <w:r>
        <w:rPr>
          <w:u w:val="single"/>
        </w:rPr>
        <w:t xml:space="preserve"> </w:t>
      </w:r>
      <w:r w:rsidRPr="00187AB4">
        <w:rPr>
          <w:u w:val="single"/>
        </w:rPr>
        <w:t>uso oral ou injetável, incluir:</w:t>
      </w:r>
    </w:p>
    <w:p w:rsidR="00702F15" w:rsidRPr="00187AB4" w:rsidRDefault="00702F15" w:rsidP="00702F15">
      <w:pPr>
        <w:autoSpaceDE w:val="0"/>
        <w:autoSpaceDN w:val="0"/>
        <w:jc w:val="both"/>
        <w:rPr>
          <w:u w:val="single"/>
        </w:rPr>
      </w:pPr>
      <w:r w:rsidRPr="00187AB4">
        <w:rPr>
          <w:u w:val="single"/>
        </w:rPr>
        <w:t>- o procedimento detalhado para reconstituição e/ou diluição antes da administração;</w:t>
      </w:r>
    </w:p>
    <w:p w:rsidR="00702F15" w:rsidRPr="00187AB4" w:rsidRDefault="00702F15" w:rsidP="00702F15">
      <w:pPr>
        <w:autoSpaceDE w:val="0"/>
        <w:autoSpaceDN w:val="0"/>
        <w:jc w:val="both"/>
        <w:rPr>
          <w:u w:val="single"/>
        </w:rPr>
      </w:pPr>
      <w:r w:rsidRPr="00187AB4">
        <w:rPr>
          <w:u w:val="single"/>
        </w:rPr>
        <w:t xml:space="preserve">- o(s) diluente(s) a </w:t>
      </w:r>
      <w:proofErr w:type="gramStart"/>
      <w:r w:rsidRPr="00187AB4">
        <w:rPr>
          <w:u w:val="single"/>
        </w:rPr>
        <w:t>ser(</w:t>
      </w:r>
      <w:proofErr w:type="gramEnd"/>
      <w:r w:rsidRPr="00187AB4">
        <w:rPr>
          <w:u w:val="single"/>
        </w:rPr>
        <w:t>em) utilizado(s);</w:t>
      </w:r>
    </w:p>
    <w:p w:rsidR="00702F15" w:rsidRPr="00187AB4" w:rsidRDefault="00702F15" w:rsidP="00702F15">
      <w:pPr>
        <w:autoSpaceDE w:val="0"/>
        <w:autoSpaceDN w:val="0"/>
        <w:jc w:val="both"/>
        <w:rPr>
          <w:u w:val="single"/>
        </w:rPr>
      </w:pPr>
      <w:r w:rsidRPr="00187AB4">
        <w:rPr>
          <w:u w:val="single"/>
        </w:rPr>
        <w:t xml:space="preserve">- o volume final do medicamento preparado; </w:t>
      </w:r>
      <w:proofErr w:type="gramStart"/>
      <w:r w:rsidRPr="00187AB4">
        <w:rPr>
          <w:u w:val="single"/>
        </w:rPr>
        <w:t>e</w:t>
      </w:r>
      <w:proofErr w:type="gramEnd"/>
    </w:p>
    <w:p w:rsidR="00702F15" w:rsidRPr="000B46D2" w:rsidRDefault="00702F15" w:rsidP="00702F15">
      <w:pPr>
        <w:autoSpaceDE w:val="0"/>
        <w:autoSpaceDN w:val="0"/>
        <w:jc w:val="both"/>
        <w:rPr>
          <w:u w:val="single"/>
        </w:rPr>
      </w:pPr>
      <w:r w:rsidRPr="000B46D2">
        <w:rPr>
          <w:u w:val="single"/>
        </w:rPr>
        <w:t>- concentração do medicamento preparado.</w:t>
      </w:r>
    </w:p>
    <w:p w:rsidR="00702F15" w:rsidRPr="00342F6B" w:rsidRDefault="00702F15" w:rsidP="00702F15">
      <w:pPr>
        <w:jc w:val="both"/>
        <w:rPr>
          <w:u w:val="single"/>
        </w:rPr>
      </w:pPr>
    </w:p>
    <w:p w:rsidR="00702F15" w:rsidRPr="00274C16" w:rsidRDefault="00702F15" w:rsidP="00702F15">
      <w:pPr>
        <w:tabs>
          <w:tab w:val="left" w:pos="9000"/>
        </w:tabs>
        <w:jc w:val="both"/>
        <w:rPr>
          <w:u w:val="single"/>
        </w:rPr>
      </w:pPr>
      <w:r w:rsidRPr="00342F6B">
        <w:rPr>
          <w:u w:val="single"/>
        </w:rPr>
        <w:t>Descrever a posologia, incluindo as seguintes informações</w:t>
      </w:r>
      <w:r w:rsidRPr="00342F6B">
        <w:t>:</w:t>
      </w:r>
      <w:r w:rsidRPr="00342F6B">
        <w:cr/>
      </w:r>
      <w:r w:rsidRPr="00274C16">
        <w:rPr>
          <w:u w:val="single"/>
        </w:rPr>
        <w:t>- dose para forma farmacêutica e concentração, expresso, quando aplicável, em unidades de medida ou unidade farmacotécnica correspondente em função ao tempo, definindo o intervalo de administração em unidade de tempo;</w:t>
      </w:r>
      <w:r w:rsidRPr="00274C16">
        <w:rPr>
          <w:u w:val="single"/>
        </w:rPr>
        <w:cr/>
        <w:t>- a dose inicial e de manutenção, quando aplicável;</w:t>
      </w:r>
      <w:r w:rsidRPr="00274C16">
        <w:rPr>
          <w:u w:val="single"/>
        </w:rPr>
        <w:cr/>
        <w:t xml:space="preserve">- duração de tratamento; </w:t>
      </w:r>
      <w:r w:rsidRPr="00274C16">
        <w:rPr>
          <w:u w:val="single"/>
        </w:rPr>
        <w:cr/>
        <w:t>- vias de administração;</w:t>
      </w:r>
    </w:p>
    <w:p w:rsidR="00702F15" w:rsidRPr="00274C16" w:rsidRDefault="00702F15" w:rsidP="00702F15">
      <w:pPr>
        <w:tabs>
          <w:tab w:val="left" w:pos="9000"/>
        </w:tabs>
        <w:jc w:val="both"/>
        <w:rPr>
          <w:u w:val="single"/>
        </w:rPr>
      </w:pPr>
      <w:r w:rsidRPr="00274C16">
        <w:rPr>
          <w:u w:val="single"/>
        </w:rPr>
        <w:t>- orientações para cada indicação terapêutica nos casos de posologias distintas;</w:t>
      </w:r>
    </w:p>
    <w:p w:rsidR="00702F15" w:rsidRPr="00274C16" w:rsidRDefault="00702F15" w:rsidP="00702F15">
      <w:pPr>
        <w:tabs>
          <w:tab w:val="left" w:pos="9000"/>
        </w:tabs>
        <w:jc w:val="both"/>
        <w:rPr>
          <w:u w:val="single"/>
        </w:rPr>
      </w:pPr>
      <w:r w:rsidRPr="00274C16">
        <w:rPr>
          <w:u w:val="single"/>
        </w:rPr>
        <w:t xml:space="preserve">- orientações para uso adulto e/ou uso pediátrico, de acordo com o aprovado no registro; </w:t>
      </w:r>
    </w:p>
    <w:p w:rsidR="00702F15" w:rsidRDefault="00702F15" w:rsidP="00702F15">
      <w:pPr>
        <w:tabs>
          <w:tab w:val="left" w:pos="9000"/>
        </w:tabs>
        <w:jc w:val="both"/>
        <w:rPr>
          <w:u w:val="single"/>
        </w:rPr>
      </w:pPr>
      <w:r w:rsidRPr="00274C16">
        <w:rPr>
          <w:u w:val="single"/>
        </w:rPr>
        <w:t>- orientações sobre o monitoramento e ajuste de dose para populações especiais.</w:t>
      </w:r>
    </w:p>
    <w:p w:rsidR="00702F15" w:rsidRDefault="00702F15" w:rsidP="00702F15">
      <w:pPr>
        <w:tabs>
          <w:tab w:val="left" w:pos="9000"/>
        </w:tabs>
        <w:jc w:val="both"/>
        <w:rPr>
          <w:u w:val="single"/>
        </w:rPr>
      </w:pPr>
    </w:p>
    <w:p w:rsidR="00702F15" w:rsidRDefault="00702F15" w:rsidP="00702F15">
      <w:pPr>
        <w:autoSpaceDE w:val="0"/>
        <w:autoSpaceDN w:val="0"/>
        <w:rPr>
          <w:u w:val="single"/>
        </w:rPr>
      </w:pPr>
      <w:r w:rsidRPr="002E568A">
        <w:rPr>
          <w:u w:val="single"/>
        </w:rPr>
        <w:t>Para as formas farmacêuticas de liberação modificada expressar a dose liberada por unidade</w:t>
      </w:r>
      <w:r>
        <w:rPr>
          <w:u w:val="single"/>
        </w:rPr>
        <w:t xml:space="preserve"> </w:t>
      </w:r>
      <w:r w:rsidRPr="002E568A">
        <w:rPr>
          <w:u w:val="single"/>
        </w:rPr>
        <w:t>de tempo e tempo total de liberação do princípio ativo.</w:t>
      </w:r>
    </w:p>
    <w:p w:rsidR="00702F15" w:rsidRPr="00274C16" w:rsidRDefault="00702F15" w:rsidP="00702F15">
      <w:pPr>
        <w:tabs>
          <w:tab w:val="left" w:pos="9000"/>
        </w:tabs>
        <w:jc w:val="both"/>
        <w:rPr>
          <w:u w:val="single"/>
        </w:rPr>
      </w:pPr>
    </w:p>
    <w:p w:rsidR="00702F15" w:rsidRDefault="00702F15" w:rsidP="00702F15">
      <w:pPr>
        <w:tabs>
          <w:tab w:val="left" w:pos="9000"/>
        </w:tabs>
        <w:jc w:val="both"/>
        <w:rPr>
          <w:u w:val="single"/>
        </w:rPr>
      </w:pPr>
      <w:r w:rsidRPr="00342F6B">
        <w:rPr>
          <w:u w:val="single"/>
        </w:rPr>
        <w:t>Descrever o limite máximo diário de administração do medicamento expresso em unidades de medida ou unidade farmacotécnica correspondente.</w:t>
      </w:r>
    </w:p>
    <w:p w:rsidR="00702F15" w:rsidRPr="00702F15" w:rsidRDefault="00702F15" w:rsidP="00702F15">
      <w:pPr>
        <w:tabs>
          <w:tab w:val="left" w:pos="9000"/>
        </w:tabs>
        <w:jc w:val="both"/>
        <w:rPr>
          <w:u w:val="single"/>
        </w:rPr>
      </w:pPr>
      <w:r w:rsidRPr="00702F15">
        <w:rPr>
          <w:b/>
        </w:rPr>
        <w:lastRenderedPageBreak/>
        <w:t>Este medicamento não deve ser partido, aberto ou mastigado.</w:t>
      </w:r>
      <w:r w:rsidRPr="00342F6B">
        <w:t xml:space="preserve"> (</w:t>
      </w:r>
      <w:r w:rsidRPr="00702F15">
        <w:rPr>
          <w:u w:val="single"/>
        </w:rPr>
        <w:t>para comprimidos revestidos, cápsulas e compridos de liberação modificada e outras que couber</w:t>
      </w:r>
      <w:r w:rsidRPr="00342F6B">
        <w:t xml:space="preserve">) ou </w:t>
      </w:r>
      <w:r w:rsidRPr="00702F15">
        <w:rPr>
          <w:b/>
        </w:rPr>
        <w:t>Este medicamento não deve ser cortado.</w:t>
      </w:r>
      <w:r w:rsidRPr="00342F6B">
        <w:t xml:space="preserve"> (</w:t>
      </w:r>
      <w:r w:rsidRPr="00702F15">
        <w:rPr>
          <w:u w:val="single"/>
        </w:rPr>
        <w:t>para adesivos e outras que couber</w:t>
      </w:r>
      <w:r w:rsidRPr="00342F6B">
        <w:t>)</w:t>
      </w:r>
    </w:p>
    <w:p w:rsidR="00702F15" w:rsidRPr="00702F15" w:rsidRDefault="00702F15" w:rsidP="00702F15">
      <w:pPr>
        <w:jc w:val="both"/>
        <w:rPr>
          <w:b/>
        </w:rPr>
      </w:pPr>
    </w:p>
    <w:p w:rsidR="008347A6" w:rsidRPr="00702F15" w:rsidRDefault="008347A6" w:rsidP="00702F15">
      <w:pPr>
        <w:pStyle w:val="PargrafodaLista"/>
        <w:numPr>
          <w:ilvl w:val="0"/>
          <w:numId w:val="4"/>
        </w:numPr>
        <w:jc w:val="both"/>
        <w:rPr>
          <w:b/>
        </w:rPr>
      </w:pPr>
      <w:r w:rsidRPr="00702F15">
        <w:rPr>
          <w:b/>
        </w:rPr>
        <w:t>REAÇÕES ADVERSAS</w:t>
      </w:r>
    </w:p>
    <w:p w:rsidR="00F75875" w:rsidRPr="00F75875" w:rsidRDefault="00F75875" w:rsidP="00F75875">
      <w:pPr>
        <w:jc w:val="both"/>
        <w:rPr>
          <w:b/>
        </w:rPr>
      </w:pPr>
    </w:p>
    <w:p w:rsidR="008347A6" w:rsidRPr="0019054D" w:rsidRDefault="008347A6" w:rsidP="0019054D">
      <w:pPr>
        <w:contextualSpacing/>
        <w:jc w:val="both"/>
      </w:pPr>
      <w:r w:rsidRPr="0019054D">
        <w:t>O uso deste medicamento pode provocar distúrbios gastr</w:t>
      </w:r>
      <w:r w:rsidR="00056230" w:rsidRPr="0019054D">
        <w:t>o</w:t>
      </w:r>
      <w:r w:rsidRPr="0019054D">
        <w:t>intestinais leves como constipação, flatulência e náusea</w:t>
      </w:r>
      <w:r w:rsidR="00702F15">
        <w:t xml:space="preserve"> </w:t>
      </w:r>
      <w:r w:rsidR="00056230" w:rsidRPr="0019054D">
        <w:t>(</w:t>
      </w:r>
      <w:r w:rsidR="00056230" w:rsidRPr="0019054D">
        <w:rPr>
          <w:u w:val="single"/>
        </w:rPr>
        <w:t>TSOURONIS, 2001)</w:t>
      </w:r>
      <w:r w:rsidR="00056230" w:rsidRPr="0019054D">
        <w:t>.</w:t>
      </w:r>
    </w:p>
    <w:p w:rsidR="008347A6" w:rsidRPr="0019054D" w:rsidRDefault="008347A6" w:rsidP="0019054D">
      <w:pPr>
        <w:contextualSpacing/>
        <w:jc w:val="both"/>
      </w:pPr>
      <w:r w:rsidRPr="0019054D">
        <w:t>Não foram relatadas reações adversas graves para este medicamento nas doses diárias recomendadas</w:t>
      </w:r>
      <w:r w:rsidR="00151685" w:rsidRPr="0019054D">
        <w:t xml:space="preserve"> (</w:t>
      </w:r>
      <w:r w:rsidR="00151685" w:rsidRPr="0019054D">
        <w:rPr>
          <w:u w:val="single"/>
          <w:lang w:val="es-ES"/>
        </w:rPr>
        <w:t xml:space="preserve">MOLL </w:t>
      </w:r>
      <w:proofErr w:type="gramStart"/>
      <w:r w:rsidR="00151685" w:rsidRPr="0019054D">
        <w:rPr>
          <w:i/>
          <w:u w:val="single"/>
          <w:lang w:val="es-ES"/>
        </w:rPr>
        <w:t>et</w:t>
      </w:r>
      <w:proofErr w:type="gramEnd"/>
      <w:r w:rsidR="00151685" w:rsidRPr="0019054D">
        <w:rPr>
          <w:i/>
          <w:u w:val="single"/>
          <w:lang w:val="es-ES"/>
        </w:rPr>
        <w:t xml:space="preserve"> al</w:t>
      </w:r>
      <w:r w:rsidR="00151685" w:rsidRPr="0019054D">
        <w:rPr>
          <w:u w:val="single"/>
          <w:lang w:val="es-ES"/>
        </w:rPr>
        <w:t xml:space="preserve">., 2000; </w:t>
      </w:r>
      <w:r w:rsidR="00D91CF2" w:rsidRPr="00702F15">
        <w:rPr>
          <w:u w:val="single"/>
        </w:rPr>
        <w:t>B</w:t>
      </w:r>
      <w:r w:rsidR="00151685" w:rsidRPr="0019054D">
        <w:rPr>
          <w:u w:val="single"/>
        </w:rPr>
        <w:t>LOEDON</w:t>
      </w:r>
      <w:r w:rsidR="00D91CF2" w:rsidRPr="00702F15">
        <w:rPr>
          <w:u w:val="single"/>
        </w:rPr>
        <w:t xml:space="preserve"> </w:t>
      </w:r>
      <w:r w:rsidR="00D91CF2" w:rsidRPr="00702F15">
        <w:rPr>
          <w:i/>
          <w:u w:val="single"/>
        </w:rPr>
        <w:t>et al</w:t>
      </w:r>
      <w:r w:rsidR="00D91CF2" w:rsidRPr="00702F15">
        <w:rPr>
          <w:u w:val="single"/>
        </w:rPr>
        <w:t>.</w:t>
      </w:r>
      <w:r w:rsidR="00151685" w:rsidRPr="0019054D">
        <w:rPr>
          <w:u w:val="single"/>
        </w:rPr>
        <w:t>, 2002)</w:t>
      </w:r>
      <w:r w:rsidRPr="0019054D">
        <w:t xml:space="preserve"> </w:t>
      </w:r>
    </w:p>
    <w:p w:rsidR="008347A6" w:rsidRPr="0019054D" w:rsidRDefault="008347A6" w:rsidP="0019054D">
      <w:pPr>
        <w:contextualSpacing/>
        <w:jc w:val="both"/>
      </w:pPr>
      <w:r w:rsidRPr="0019054D">
        <w:t xml:space="preserve">Em caso de hipersensibilidade ao produto, recomenda-se descontinuar o uso e consultar o médico. </w:t>
      </w:r>
    </w:p>
    <w:p w:rsidR="008347A6" w:rsidRDefault="008347A6" w:rsidP="0019054D">
      <w:pPr>
        <w:contextualSpacing/>
        <w:jc w:val="both"/>
      </w:pPr>
      <w:r w:rsidRPr="0019054D">
        <w:t>Em casos de eventos adversos, notifique ao Sistema de Notificações em Vigilância Sanitária</w:t>
      </w:r>
      <w:r w:rsidRPr="0019054D">
        <w:rPr>
          <w:b/>
        </w:rPr>
        <w:t xml:space="preserve"> - </w:t>
      </w:r>
      <w:r w:rsidRPr="0019054D">
        <w:t xml:space="preserve">NOTIVISA, disponível em </w:t>
      </w:r>
      <w:proofErr w:type="spellStart"/>
      <w:proofErr w:type="gramStart"/>
      <w:r w:rsidRPr="0019054D">
        <w:t>www</w:t>
      </w:r>
      <w:proofErr w:type="spellEnd"/>
      <w:r w:rsidRPr="0019054D">
        <w:t>.____________,</w:t>
      </w:r>
      <w:proofErr w:type="gramEnd"/>
      <w:r w:rsidRPr="0019054D">
        <w:t xml:space="preserve"> ou para a Vigilância S</w:t>
      </w:r>
      <w:r w:rsidR="00151685" w:rsidRPr="0019054D">
        <w:t>anitária Estadual ou Municipal.</w:t>
      </w:r>
      <w:r w:rsidRPr="0019054D">
        <w:t xml:space="preserve"> (</w:t>
      </w:r>
      <w:r w:rsidRPr="0019054D">
        <w:rPr>
          <w:u w:val="single"/>
        </w:rPr>
        <w:t>incluindo no espaço o endereço eletrônico atualizado do NOTIVISA</w:t>
      </w:r>
      <w:r w:rsidRPr="0019054D">
        <w:t>)</w:t>
      </w:r>
    </w:p>
    <w:p w:rsidR="00702F15" w:rsidRPr="0019054D" w:rsidRDefault="00702F15" w:rsidP="0019054D">
      <w:pPr>
        <w:contextualSpacing/>
        <w:jc w:val="both"/>
      </w:pPr>
    </w:p>
    <w:p w:rsidR="008347A6" w:rsidRPr="00702F15" w:rsidRDefault="008347A6" w:rsidP="00702F15">
      <w:pPr>
        <w:pStyle w:val="PargrafodaLista"/>
        <w:numPr>
          <w:ilvl w:val="0"/>
          <w:numId w:val="4"/>
        </w:numPr>
        <w:jc w:val="both"/>
        <w:rPr>
          <w:b/>
        </w:rPr>
      </w:pPr>
      <w:r w:rsidRPr="00702F15">
        <w:rPr>
          <w:b/>
        </w:rPr>
        <w:t>SUPERDOSE</w:t>
      </w:r>
    </w:p>
    <w:p w:rsidR="00702F15" w:rsidRPr="00702F15" w:rsidRDefault="00702F15" w:rsidP="00702F15">
      <w:pPr>
        <w:pStyle w:val="PargrafodaLista"/>
        <w:ind w:left="360"/>
        <w:jc w:val="both"/>
        <w:rPr>
          <w:b/>
        </w:rPr>
      </w:pPr>
    </w:p>
    <w:p w:rsidR="008347A6" w:rsidRPr="0019054D" w:rsidRDefault="008347A6" w:rsidP="0019054D">
      <w:pPr>
        <w:contextualSpacing/>
        <w:jc w:val="both"/>
      </w:pPr>
      <w:r w:rsidRPr="0019054D">
        <w:t xml:space="preserve">Não há relatos de intoxicações por </w:t>
      </w:r>
      <w:proofErr w:type="spellStart"/>
      <w:r w:rsidRPr="0019054D">
        <w:t>superdosagem</w:t>
      </w:r>
      <w:proofErr w:type="spellEnd"/>
      <w:r w:rsidRPr="0019054D">
        <w:t xml:space="preserve"> na literatura.</w:t>
      </w:r>
    </w:p>
    <w:p w:rsidR="008347A6" w:rsidRDefault="008347A6" w:rsidP="0019054D">
      <w:pPr>
        <w:contextualSpacing/>
        <w:jc w:val="both"/>
      </w:pPr>
      <w:r w:rsidRPr="0019054D">
        <w:t xml:space="preserve">Suspender a medicação e procurar orientação médica de imediato. Recomenda-se tratamento de suporte sintomático pelas medidas habituais de apoio e controle das funções vitais. </w:t>
      </w:r>
    </w:p>
    <w:p w:rsidR="00702F15" w:rsidRPr="0019054D" w:rsidRDefault="00702F15" w:rsidP="0019054D">
      <w:pPr>
        <w:contextualSpacing/>
        <w:jc w:val="both"/>
      </w:pPr>
    </w:p>
    <w:p w:rsidR="008347A6" w:rsidRPr="0019054D" w:rsidRDefault="008347A6" w:rsidP="0019054D">
      <w:pPr>
        <w:contextualSpacing/>
        <w:jc w:val="both"/>
        <w:rPr>
          <w:b/>
        </w:rPr>
      </w:pPr>
      <w:r w:rsidRPr="0019054D">
        <w:rPr>
          <w:b/>
        </w:rPr>
        <w:t>Em caso de intoxicação ligue para 0800 722 6001, se você precisar de mais orientações</w:t>
      </w:r>
      <w:r w:rsidR="00151685" w:rsidRPr="0019054D">
        <w:rPr>
          <w:b/>
        </w:rPr>
        <w:t>.</w:t>
      </w:r>
    </w:p>
    <w:p w:rsidR="008347A6" w:rsidRPr="0019054D" w:rsidRDefault="008347A6" w:rsidP="0019054D">
      <w:pPr>
        <w:contextualSpacing/>
        <w:jc w:val="both"/>
        <w:rPr>
          <w:b/>
        </w:rPr>
      </w:pPr>
    </w:p>
    <w:p w:rsidR="00702F15" w:rsidRDefault="008347A6" w:rsidP="0019054D">
      <w:pPr>
        <w:jc w:val="both"/>
        <w:rPr>
          <w:b/>
        </w:rPr>
      </w:pPr>
      <w:r w:rsidRPr="0019054D">
        <w:rPr>
          <w:b/>
        </w:rPr>
        <w:t>DIZERES LEGAIS</w:t>
      </w:r>
      <w:r w:rsidRPr="0019054D">
        <w:rPr>
          <w:b/>
        </w:rPr>
        <w:cr/>
      </w:r>
    </w:p>
    <w:p w:rsidR="00463413" w:rsidRPr="0019054D" w:rsidRDefault="00463413" w:rsidP="0019054D">
      <w:pPr>
        <w:jc w:val="both"/>
        <w:rPr>
          <w:u w:val="single"/>
        </w:rPr>
      </w:pPr>
      <w:r w:rsidRPr="0019054D">
        <w:rPr>
          <w:u w:val="single"/>
        </w:rPr>
        <w:t xml:space="preserve">Informar a sigla “MS” mais o número de registro no Ministério da Saúde conforme publicado em Diário Oficial da União (D.O.U.), sendo necessários os </w:t>
      </w:r>
      <w:proofErr w:type="gramStart"/>
      <w:r w:rsidRPr="0019054D">
        <w:rPr>
          <w:u w:val="single"/>
        </w:rPr>
        <w:t>9</w:t>
      </w:r>
      <w:proofErr w:type="gramEnd"/>
      <w:r w:rsidRPr="0019054D">
        <w:rPr>
          <w:u w:val="single"/>
        </w:rPr>
        <w:t xml:space="preserve"> (nove) dígitos iniciais.</w:t>
      </w:r>
    </w:p>
    <w:p w:rsidR="00463413" w:rsidRPr="0019054D" w:rsidRDefault="00463413" w:rsidP="0019054D">
      <w:pPr>
        <w:jc w:val="both"/>
        <w:rPr>
          <w:u w:val="single"/>
        </w:rPr>
      </w:pPr>
      <w:r w:rsidRPr="0019054D">
        <w:rPr>
          <w:u w:val="single"/>
        </w:rPr>
        <w:t>Informar o nome, número de inscrição e sigla do Conselho Regional de Farmácia do responsável técnico da empresa titular do registro.</w:t>
      </w:r>
    </w:p>
    <w:p w:rsidR="00463413" w:rsidRPr="0019054D" w:rsidRDefault="00463413" w:rsidP="0019054D">
      <w:pPr>
        <w:jc w:val="both"/>
        <w:rPr>
          <w:u w:val="single"/>
        </w:rPr>
      </w:pPr>
      <w:r w:rsidRPr="0019054D">
        <w:rPr>
          <w:u w:val="single"/>
        </w:rPr>
        <w:t>Informar o nome e endereço da empresa titular do registro no Brasil. </w:t>
      </w:r>
      <w:r w:rsidRPr="0019054D">
        <w:rPr>
          <w:u w:val="single"/>
        </w:rPr>
        <w:cr/>
        <w:t>Informar o número do Cadastro Nacional de Pessoa Jurídica (CNPJ) do titular do registro.</w:t>
      </w:r>
    </w:p>
    <w:p w:rsidR="00463413" w:rsidRPr="0019054D" w:rsidRDefault="00463413" w:rsidP="0019054D">
      <w:pPr>
        <w:jc w:val="both"/>
        <w:rPr>
          <w:u w:val="single"/>
        </w:rPr>
      </w:pPr>
      <w:r w:rsidRPr="0019054D">
        <w:rPr>
          <w:u w:val="single"/>
        </w:rPr>
        <w:t>Inserir a expressão “Indústria Brasileira”, quando aplicável.</w:t>
      </w:r>
    </w:p>
    <w:p w:rsidR="00463413" w:rsidRPr="0019054D" w:rsidRDefault="00463413" w:rsidP="0019054D">
      <w:pPr>
        <w:jc w:val="both"/>
        <w:rPr>
          <w:u w:val="single"/>
        </w:rPr>
      </w:pPr>
      <w:r w:rsidRPr="0019054D">
        <w:rPr>
          <w:u w:val="single"/>
        </w:rPr>
        <w:t xml:space="preserve">Informar o telefone do Serviço de Atendimento ao Consumidor (SAC), de responsabilidade </w:t>
      </w:r>
      <w:proofErr w:type="gramStart"/>
      <w:r w:rsidRPr="0019054D">
        <w:rPr>
          <w:u w:val="single"/>
        </w:rPr>
        <w:t>da empresa titular</w:t>
      </w:r>
      <w:proofErr w:type="gramEnd"/>
      <w:r w:rsidRPr="0019054D">
        <w:rPr>
          <w:u w:val="single"/>
        </w:rPr>
        <w:t xml:space="preserve"> do registro.</w:t>
      </w:r>
    </w:p>
    <w:p w:rsidR="00463413" w:rsidRPr="0019054D" w:rsidRDefault="00463413" w:rsidP="0019054D">
      <w:pPr>
        <w:jc w:val="both"/>
        <w:rPr>
          <w:u w:val="single"/>
        </w:rPr>
      </w:pPr>
      <w:r w:rsidRPr="0019054D">
        <w:rPr>
          <w:u w:val="single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19054D">
        <w:rPr>
          <w:u w:val="single"/>
        </w:rPr>
        <w:t>frase “Fabricado</w:t>
      </w:r>
      <w:proofErr w:type="gramEnd"/>
      <w:r w:rsidRPr="0019054D">
        <w:rPr>
          <w:u w:val="single"/>
        </w:rPr>
        <w:t xml:space="preserve"> por:” e inserindo a frase “Registrado por:” antes dos dados da detentora do registro.</w:t>
      </w:r>
    </w:p>
    <w:p w:rsidR="00463413" w:rsidRPr="0019054D" w:rsidRDefault="00463413" w:rsidP="0019054D">
      <w:pPr>
        <w:jc w:val="both"/>
        <w:rPr>
          <w:u w:val="single"/>
        </w:rPr>
      </w:pPr>
      <w:r w:rsidRPr="0019054D">
        <w:rPr>
          <w:u w:val="single"/>
        </w:rPr>
        <w:t xml:space="preserve">Informar o nome e endereço da empresa fabricante, quando o medicamento for importado, citando a cidade e o país precedidos pela </w:t>
      </w:r>
      <w:proofErr w:type="gramStart"/>
      <w:r w:rsidRPr="0019054D">
        <w:rPr>
          <w:u w:val="single"/>
        </w:rPr>
        <w:t>frase “Fabricado</w:t>
      </w:r>
      <w:proofErr w:type="gramEnd"/>
      <w:r w:rsidRPr="0019054D">
        <w:rPr>
          <w:u w:val="single"/>
        </w:rPr>
        <w:t xml:space="preserve"> por” e inserindo a frase “Importado por:” antes dos dados da empresa titular do registro.</w:t>
      </w:r>
    </w:p>
    <w:p w:rsidR="00463413" w:rsidRPr="0019054D" w:rsidRDefault="00463413" w:rsidP="0019054D">
      <w:pPr>
        <w:jc w:val="both"/>
        <w:rPr>
          <w:u w:val="single"/>
        </w:rPr>
      </w:pPr>
      <w:r w:rsidRPr="0019054D">
        <w:rPr>
          <w:u w:val="single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19054D">
        <w:rPr>
          <w:u w:val="single"/>
        </w:rPr>
        <w:t>frase “Embalado</w:t>
      </w:r>
      <w:proofErr w:type="gramEnd"/>
      <w:r w:rsidRPr="0019054D">
        <w:rPr>
          <w:u w:val="single"/>
        </w:rPr>
        <w:t xml:space="preserve"> por:” e </w:t>
      </w:r>
      <w:r w:rsidRPr="0019054D">
        <w:rPr>
          <w:u w:val="single"/>
        </w:rPr>
        <w:lastRenderedPageBreak/>
        <w:t>inserindo a frase “Registrado por:” ou “Importado por:”, conforme o caso, antes dos dados da empresa titular do registro;</w:t>
      </w:r>
    </w:p>
    <w:p w:rsidR="00463413" w:rsidRPr="0019054D" w:rsidRDefault="00463413" w:rsidP="0019054D">
      <w:pPr>
        <w:jc w:val="both"/>
        <w:rPr>
          <w:u w:val="single"/>
        </w:rPr>
      </w:pPr>
      <w:proofErr w:type="gramStart"/>
      <w:r w:rsidRPr="0019054D">
        <w:rPr>
          <w:u w:val="single"/>
        </w:rPr>
        <w:t>Informar,</w:t>
      </w:r>
      <w:proofErr w:type="gramEnd"/>
      <w:r w:rsidRPr="0019054D">
        <w:rPr>
          <w:u w:val="single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463413" w:rsidRPr="0019054D" w:rsidRDefault="00463413" w:rsidP="0019054D">
      <w:pPr>
        <w:jc w:val="both"/>
        <w:rPr>
          <w:u w:val="single"/>
        </w:rPr>
      </w:pPr>
      <w:r w:rsidRPr="0019054D">
        <w:rPr>
          <w:u w:val="single"/>
        </w:rPr>
        <w:t xml:space="preserve">É facultativo incluir a logomarca </w:t>
      </w:r>
      <w:proofErr w:type="gramStart"/>
      <w:r w:rsidRPr="0019054D">
        <w:rPr>
          <w:u w:val="single"/>
        </w:rPr>
        <w:t>da empresa farmacêutica titular</w:t>
      </w:r>
      <w:proofErr w:type="gramEnd"/>
      <w:r w:rsidRPr="0019054D">
        <w:rPr>
          <w:u w:val="single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463413" w:rsidRPr="0019054D" w:rsidRDefault="00463413" w:rsidP="0019054D">
      <w:pPr>
        <w:jc w:val="both"/>
        <w:rPr>
          <w:u w:val="single"/>
        </w:rPr>
      </w:pPr>
      <w:r w:rsidRPr="0019054D">
        <w:rPr>
          <w:u w:val="single"/>
        </w:rPr>
        <w:t>Incluir as seguintes frases, quando for o caso: </w:t>
      </w:r>
    </w:p>
    <w:p w:rsidR="00BE174D" w:rsidRPr="00B5096D" w:rsidRDefault="00463413" w:rsidP="00BE174D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19054D">
        <w:t>Siga corretamente o modo de usar, não desaparecendo os sintomas procure orientação médica. (</w:t>
      </w:r>
      <w:r w:rsidRPr="0019054D">
        <w:rPr>
          <w:u w:val="single"/>
        </w:rPr>
        <w:t>para os medicamentos vendidos sem exigência de prescrição médica</w:t>
      </w:r>
      <w:r w:rsidRPr="0019054D">
        <w:t>)</w:t>
      </w:r>
      <w:r w:rsidRPr="0019054D">
        <w:cr/>
      </w:r>
      <w:r w:rsidR="00BE174D" w:rsidRPr="00B5096D">
        <w:rPr>
          <w:rFonts w:eastAsiaTheme="minorHAnsi"/>
          <w:lang w:eastAsia="en-US"/>
        </w:rPr>
        <w:t xml:space="preserve">Uso </w:t>
      </w:r>
      <w:proofErr w:type="gramStart"/>
      <w:r w:rsidR="00BE174D" w:rsidRPr="00B5096D">
        <w:rPr>
          <w:rFonts w:eastAsiaTheme="minorHAnsi"/>
          <w:lang w:eastAsia="en-US"/>
        </w:rPr>
        <w:t>sob prescrição</w:t>
      </w:r>
      <w:proofErr w:type="gramEnd"/>
      <w:r w:rsidR="00BE174D" w:rsidRPr="00B5096D">
        <w:rPr>
          <w:rFonts w:eastAsiaTheme="minorHAnsi"/>
          <w:lang w:eastAsia="en-US"/>
        </w:rPr>
        <w:t xml:space="preserve"> médica. </w:t>
      </w:r>
      <w:r w:rsidR="00BE174D" w:rsidRPr="00B5096D">
        <w:rPr>
          <w:rFonts w:eastAsiaTheme="minorHAnsi"/>
          <w:u w:val="single"/>
          <w:lang w:eastAsia="en-US"/>
        </w:rPr>
        <w:t>(para embalagens com destinação institucional);</w:t>
      </w:r>
    </w:p>
    <w:p w:rsidR="00463413" w:rsidRPr="0019054D" w:rsidRDefault="00463413" w:rsidP="0019054D">
      <w:pPr>
        <w:jc w:val="both"/>
      </w:pPr>
      <w:r w:rsidRPr="0019054D">
        <w:t>Venda proibida ao comércio. (</w:t>
      </w:r>
      <w:r w:rsidRPr="0019054D">
        <w:rPr>
          <w:u w:val="single"/>
        </w:rPr>
        <w:t>para os medicamentos com destinação institucional</w:t>
      </w:r>
      <w:r w:rsidRPr="0019054D">
        <w:t>)</w:t>
      </w:r>
    </w:p>
    <w:p w:rsidR="00463413" w:rsidRPr="0019054D" w:rsidRDefault="00463413" w:rsidP="0019054D">
      <w:pPr>
        <w:tabs>
          <w:tab w:val="left" w:pos="2700"/>
        </w:tabs>
        <w:jc w:val="both"/>
        <w:rPr>
          <w:u w:val="single"/>
        </w:rPr>
      </w:pPr>
      <w:r w:rsidRPr="0019054D">
        <w:rPr>
          <w:b/>
        </w:rPr>
        <w:t xml:space="preserve">Esta bula foi atualizada conforme Bula Padrão aprovada pela </w:t>
      </w:r>
      <w:proofErr w:type="gramStart"/>
      <w:r w:rsidRPr="0019054D">
        <w:rPr>
          <w:b/>
        </w:rPr>
        <w:t>Anvisa</w:t>
      </w:r>
      <w:proofErr w:type="gramEnd"/>
      <w:r w:rsidRPr="0019054D">
        <w:rPr>
          <w:b/>
        </w:rPr>
        <w:t xml:space="preserve"> em (dia/mês/ano)</w:t>
      </w:r>
      <w:r w:rsidRPr="0019054D">
        <w:t xml:space="preserve"> (</w:t>
      </w:r>
      <w:r w:rsidRPr="0019054D">
        <w:rPr>
          <w:u w:val="single"/>
        </w:rPr>
        <w:t xml:space="preserve">informando a data de publicação da respectiva Bula Padrão no </w:t>
      </w:r>
      <w:proofErr w:type="spellStart"/>
      <w:r w:rsidRPr="0019054D">
        <w:rPr>
          <w:u w:val="single"/>
        </w:rPr>
        <w:t>Bulário</w:t>
      </w:r>
      <w:proofErr w:type="spellEnd"/>
      <w:r w:rsidRPr="0019054D">
        <w:rPr>
          <w:u w:val="single"/>
        </w:rPr>
        <w:t xml:space="preserve"> Eletrônico com a qual a bula foi harmonizada e/ou atualizada) </w:t>
      </w:r>
    </w:p>
    <w:p w:rsidR="008347A6" w:rsidRPr="0019054D" w:rsidRDefault="00463413" w:rsidP="0019054D">
      <w:pPr>
        <w:jc w:val="both"/>
        <w:rPr>
          <w:u w:val="single"/>
        </w:rPr>
      </w:pPr>
      <w:r w:rsidRPr="0019054D">
        <w:rPr>
          <w:u w:val="single"/>
        </w:rPr>
        <w:t>Incluir símbolo da reciclagem de papel</w:t>
      </w:r>
      <w:r w:rsidRPr="0019054D">
        <w:t>.</w:t>
      </w:r>
      <w:r w:rsidRPr="0019054D">
        <w:cr/>
      </w:r>
      <w:r w:rsidR="008347A6" w:rsidRPr="0019054D">
        <w:rPr>
          <w:u w:val="single"/>
        </w:rPr>
        <w:cr/>
      </w:r>
    </w:p>
    <w:p w:rsidR="008347A6" w:rsidRPr="0019054D" w:rsidRDefault="008347A6" w:rsidP="0019054D">
      <w:pPr>
        <w:jc w:val="both"/>
        <w:rPr>
          <w:b/>
          <w:u w:val="single"/>
        </w:rPr>
      </w:pPr>
      <w:r w:rsidRPr="0019054D">
        <w:rPr>
          <w:b/>
          <w:u w:val="single"/>
        </w:rPr>
        <w:t>REFERÊNCIAS BIBLIOGRÁFICAS</w:t>
      </w:r>
    </w:p>
    <w:p w:rsidR="008347A6" w:rsidRPr="0019054D" w:rsidRDefault="008347A6" w:rsidP="0019054D">
      <w:pPr>
        <w:jc w:val="both"/>
        <w:rPr>
          <w:b/>
          <w:u w:val="single"/>
        </w:rPr>
      </w:pPr>
    </w:p>
    <w:p w:rsidR="00463413" w:rsidRPr="0019054D" w:rsidRDefault="00463413" w:rsidP="0019054D">
      <w:pPr>
        <w:jc w:val="both"/>
      </w:pPr>
      <w:r w:rsidRPr="0019054D">
        <w:t xml:space="preserve">KAARI, C. Efeitos da </w:t>
      </w:r>
      <w:proofErr w:type="spellStart"/>
      <w:r w:rsidRPr="0019054D">
        <w:t>isoflavona</w:t>
      </w:r>
      <w:proofErr w:type="spellEnd"/>
      <w:r w:rsidRPr="0019054D">
        <w:t xml:space="preserve"> nos sintomas climatéricos, na qualidade de vida, no trato genital e na mama de mulheres pós-</w:t>
      </w:r>
      <w:proofErr w:type="spellStart"/>
      <w:r w:rsidRPr="0019054D">
        <w:t>menopausicas</w:t>
      </w:r>
      <w:proofErr w:type="spellEnd"/>
      <w:r w:rsidRPr="0019054D">
        <w:t>. São Paulo: Unifesp, 2003. 96 p. (Tese apresentada à Universidade Federal de São Paulo, Escola Paulista de Medicina para obtenção do título de doutor em medicina).</w:t>
      </w:r>
    </w:p>
    <w:p w:rsidR="00463413" w:rsidRPr="0019054D" w:rsidRDefault="00463413" w:rsidP="0019054D">
      <w:pPr>
        <w:jc w:val="both"/>
        <w:rPr>
          <w:lang w:val="en-US"/>
        </w:rPr>
      </w:pPr>
      <w:r w:rsidRPr="0019054D">
        <w:rPr>
          <w:lang w:val="en-US"/>
        </w:rPr>
        <w:t xml:space="preserve">KAARI, C. </w:t>
      </w:r>
      <w:r w:rsidRPr="0019054D">
        <w:rPr>
          <w:i/>
          <w:lang w:val="en-US"/>
        </w:rPr>
        <w:t>et al</w:t>
      </w:r>
      <w:r w:rsidRPr="0019054D">
        <w:rPr>
          <w:lang w:val="en-US"/>
        </w:rPr>
        <w:t xml:space="preserve">. Randomized clinical trial comparing conjugated equine estrogens and </w:t>
      </w:r>
      <w:proofErr w:type="spellStart"/>
      <w:r w:rsidRPr="0019054D">
        <w:rPr>
          <w:lang w:val="en-US"/>
        </w:rPr>
        <w:t>isoflavones</w:t>
      </w:r>
      <w:proofErr w:type="spellEnd"/>
      <w:r w:rsidRPr="0019054D">
        <w:rPr>
          <w:lang w:val="en-US"/>
        </w:rPr>
        <w:t xml:space="preserve"> in postmenopausal women: a pilot study. </w:t>
      </w:r>
      <w:proofErr w:type="spellStart"/>
      <w:r w:rsidRPr="0019054D">
        <w:rPr>
          <w:lang w:val="en-US"/>
        </w:rPr>
        <w:t>Maturitas</w:t>
      </w:r>
      <w:proofErr w:type="spellEnd"/>
      <w:r w:rsidRPr="0019054D">
        <w:rPr>
          <w:lang w:val="en-US"/>
        </w:rPr>
        <w:t>, 53: 49-58, 2006.</w:t>
      </w:r>
    </w:p>
    <w:p w:rsidR="00463413" w:rsidRPr="0019054D" w:rsidRDefault="00463413" w:rsidP="0019054D">
      <w:pPr>
        <w:jc w:val="both"/>
        <w:rPr>
          <w:u w:val="single"/>
          <w:lang w:val="en-US"/>
        </w:rPr>
      </w:pPr>
      <w:r w:rsidRPr="0019054D">
        <w:rPr>
          <w:u w:val="single"/>
          <w:lang w:val="en-US"/>
        </w:rPr>
        <w:t>KUIPER, G. et al. Interaction of estrogenic chemicals and phytoestrogens with estrogen receptor beta. Endocrinology 139: 4252-63, 1998.</w:t>
      </w:r>
    </w:p>
    <w:p w:rsidR="00463413" w:rsidRPr="0019054D" w:rsidRDefault="00463413" w:rsidP="0019054D">
      <w:pPr>
        <w:jc w:val="both"/>
      </w:pPr>
      <w:r w:rsidRPr="0019054D">
        <w:rPr>
          <w:lang w:val="en-US"/>
        </w:rPr>
        <w:t>UPMALIS D.</w:t>
      </w:r>
      <w:r w:rsidRPr="0019054D">
        <w:rPr>
          <w:i/>
          <w:lang w:val="en-US"/>
        </w:rPr>
        <w:t xml:space="preserve"> et al</w:t>
      </w:r>
      <w:r w:rsidRPr="0019054D">
        <w:rPr>
          <w:lang w:val="en-US"/>
        </w:rPr>
        <w:t xml:space="preserve">. Vasomotor symptom </w:t>
      </w:r>
      <w:proofErr w:type="gramStart"/>
      <w:r w:rsidRPr="0019054D">
        <w:rPr>
          <w:lang w:val="en-US"/>
        </w:rPr>
        <w:t xml:space="preserve">relief by soy </w:t>
      </w:r>
      <w:proofErr w:type="spellStart"/>
      <w:r w:rsidRPr="0019054D">
        <w:rPr>
          <w:lang w:val="en-US"/>
        </w:rPr>
        <w:t>isoflavone</w:t>
      </w:r>
      <w:proofErr w:type="spellEnd"/>
      <w:r w:rsidRPr="0019054D">
        <w:rPr>
          <w:lang w:val="en-US"/>
        </w:rPr>
        <w:t xml:space="preserve"> extract</w:t>
      </w:r>
      <w:proofErr w:type="gramEnd"/>
      <w:r w:rsidRPr="0019054D">
        <w:rPr>
          <w:lang w:val="en-US"/>
        </w:rPr>
        <w:t xml:space="preserve"> tablets in postmenopausal women: a multicenter, double-blind, randomized, placebo-controlled study. </w:t>
      </w:r>
      <w:proofErr w:type="spellStart"/>
      <w:r w:rsidRPr="0019054D">
        <w:t>Menopause</w:t>
      </w:r>
      <w:proofErr w:type="spellEnd"/>
      <w:r w:rsidRPr="0019054D">
        <w:t xml:space="preserve">. </w:t>
      </w:r>
      <w:proofErr w:type="gramStart"/>
      <w:r w:rsidRPr="0019054D">
        <w:t>7</w:t>
      </w:r>
      <w:proofErr w:type="gramEnd"/>
      <w:r w:rsidRPr="0019054D">
        <w:t xml:space="preserve"> (4) 2000.</w:t>
      </w:r>
    </w:p>
    <w:p w:rsidR="00463413" w:rsidRPr="0019054D" w:rsidRDefault="00463413" w:rsidP="0019054D">
      <w:pPr>
        <w:jc w:val="both"/>
        <w:rPr>
          <w:u w:val="single"/>
        </w:rPr>
      </w:pPr>
      <w:r w:rsidRPr="0019054D">
        <w:rPr>
          <w:u w:val="single"/>
          <w:lang w:val="es-ES"/>
        </w:rPr>
        <w:t xml:space="preserve">MOLL, M. </w:t>
      </w:r>
      <w:r w:rsidRPr="0019054D">
        <w:rPr>
          <w:i/>
          <w:u w:val="single"/>
          <w:lang w:val="es-ES"/>
        </w:rPr>
        <w:t>et al</w:t>
      </w:r>
      <w:r w:rsidRPr="0019054D">
        <w:rPr>
          <w:u w:val="single"/>
          <w:lang w:val="es-ES"/>
        </w:rPr>
        <w:t xml:space="preserve">. </w:t>
      </w:r>
      <w:proofErr w:type="spellStart"/>
      <w:r w:rsidRPr="0019054D">
        <w:rPr>
          <w:u w:val="single"/>
          <w:lang w:val="es-ES"/>
        </w:rPr>
        <w:t>Fitoestrógenos</w:t>
      </w:r>
      <w:proofErr w:type="spellEnd"/>
      <w:r w:rsidRPr="0019054D">
        <w:rPr>
          <w:u w:val="single"/>
          <w:lang w:val="es-ES"/>
        </w:rPr>
        <w:t xml:space="preserve">: posibilidades </w:t>
      </w:r>
      <w:proofErr w:type="spellStart"/>
      <w:r w:rsidRPr="0019054D">
        <w:rPr>
          <w:u w:val="single"/>
          <w:lang w:val="es-ES"/>
        </w:rPr>
        <w:t>terapêuticas</w:t>
      </w:r>
      <w:proofErr w:type="spellEnd"/>
      <w:r w:rsidRPr="0019054D">
        <w:rPr>
          <w:u w:val="single"/>
          <w:lang w:val="es-ES"/>
        </w:rPr>
        <w:t>. Revista de Fitoterapia</w:t>
      </w:r>
      <w:proofErr w:type="gramStart"/>
      <w:r w:rsidRPr="0019054D">
        <w:rPr>
          <w:u w:val="single"/>
          <w:lang w:val="es-ES"/>
        </w:rPr>
        <w:t>,1</w:t>
      </w:r>
      <w:proofErr w:type="gramEnd"/>
      <w:r w:rsidRPr="0019054D">
        <w:rPr>
          <w:u w:val="single"/>
          <w:lang w:val="es-ES"/>
        </w:rPr>
        <w:t xml:space="preserve"> (3): 165- 180, 2000.</w:t>
      </w:r>
    </w:p>
    <w:p w:rsidR="00463413" w:rsidRPr="0019054D" w:rsidRDefault="00463413" w:rsidP="0019054D">
      <w:pPr>
        <w:jc w:val="both"/>
        <w:rPr>
          <w:u w:val="single"/>
          <w:lang w:val="en-US"/>
        </w:rPr>
      </w:pPr>
      <w:r w:rsidRPr="0019054D">
        <w:rPr>
          <w:u w:val="single"/>
          <w:lang w:val="en-US"/>
        </w:rPr>
        <w:t xml:space="preserve">TSOURONIS C. Clinical effects of phytoestrogens. </w:t>
      </w:r>
      <w:proofErr w:type="spellStart"/>
      <w:proofErr w:type="gramStart"/>
      <w:r w:rsidRPr="0019054D">
        <w:rPr>
          <w:u w:val="single"/>
          <w:lang w:val="en-US"/>
        </w:rPr>
        <w:t>Clin</w:t>
      </w:r>
      <w:proofErr w:type="spellEnd"/>
      <w:r w:rsidRPr="0019054D">
        <w:rPr>
          <w:u w:val="single"/>
          <w:lang w:val="en-US"/>
        </w:rPr>
        <w:t>.</w:t>
      </w:r>
      <w:proofErr w:type="gramEnd"/>
      <w:r w:rsidRPr="0019054D">
        <w:rPr>
          <w:u w:val="single"/>
          <w:lang w:val="en-US"/>
        </w:rPr>
        <w:t xml:space="preserve"> </w:t>
      </w:r>
      <w:proofErr w:type="spellStart"/>
      <w:r w:rsidRPr="0019054D">
        <w:rPr>
          <w:u w:val="single"/>
          <w:lang w:val="en-US"/>
        </w:rPr>
        <w:t>Obstet</w:t>
      </w:r>
      <w:proofErr w:type="spellEnd"/>
      <w:r w:rsidRPr="0019054D">
        <w:rPr>
          <w:u w:val="single"/>
          <w:lang w:val="en-US"/>
        </w:rPr>
        <w:t xml:space="preserve"> </w:t>
      </w:r>
      <w:proofErr w:type="spellStart"/>
      <w:r w:rsidRPr="0019054D">
        <w:rPr>
          <w:u w:val="single"/>
          <w:lang w:val="en-US"/>
        </w:rPr>
        <w:t>Gynecol</w:t>
      </w:r>
      <w:proofErr w:type="spellEnd"/>
      <w:r w:rsidRPr="0019054D">
        <w:rPr>
          <w:u w:val="single"/>
          <w:lang w:val="en-US"/>
        </w:rPr>
        <w:t xml:space="preserve"> 2001; 44: 836-42.</w:t>
      </w:r>
    </w:p>
    <w:p w:rsidR="00463413" w:rsidRPr="0019054D" w:rsidRDefault="00463413" w:rsidP="0019054D">
      <w:pPr>
        <w:jc w:val="both"/>
        <w:rPr>
          <w:u w:val="single"/>
          <w:lang w:val="en-US"/>
        </w:rPr>
      </w:pPr>
      <w:r w:rsidRPr="0019054D">
        <w:rPr>
          <w:u w:val="single"/>
          <w:lang w:val="en-US"/>
        </w:rPr>
        <w:t xml:space="preserve">NAHAS E. A. P., </w:t>
      </w:r>
      <w:proofErr w:type="spellStart"/>
      <w:r w:rsidRPr="0019054D">
        <w:rPr>
          <w:u w:val="single"/>
          <w:lang w:val="en-US"/>
        </w:rPr>
        <w:t>Nahas-Neto</w:t>
      </w:r>
      <w:proofErr w:type="spellEnd"/>
      <w:r w:rsidRPr="0019054D">
        <w:rPr>
          <w:u w:val="single"/>
          <w:lang w:val="en-US"/>
        </w:rPr>
        <w:t xml:space="preserve"> J. The effect of soy </w:t>
      </w:r>
      <w:proofErr w:type="spellStart"/>
      <w:r w:rsidRPr="0019054D">
        <w:rPr>
          <w:u w:val="single"/>
          <w:lang w:val="en-US"/>
        </w:rPr>
        <w:t>isoflavones</w:t>
      </w:r>
      <w:proofErr w:type="spellEnd"/>
      <w:r w:rsidRPr="0019054D">
        <w:rPr>
          <w:u w:val="single"/>
          <w:lang w:val="en-US"/>
        </w:rPr>
        <w:t xml:space="preserve"> in Postmenopausal women: Clinical review. Bentham Science Publishers Ltd., 2006.</w:t>
      </w:r>
    </w:p>
    <w:p w:rsidR="00463413" w:rsidRPr="0019054D" w:rsidRDefault="00463413" w:rsidP="0019054D">
      <w:pPr>
        <w:jc w:val="both"/>
        <w:rPr>
          <w:u w:val="single"/>
          <w:lang w:val="en-US"/>
        </w:rPr>
      </w:pPr>
      <w:r w:rsidRPr="0019054D">
        <w:rPr>
          <w:u w:val="single"/>
          <w:lang w:val="en-US"/>
        </w:rPr>
        <w:t xml:space="preserve">DIVI RL, Chang HC </w:t>
      </w:r>
      <w:proofErr w:type="spellStart"/>
      <w:r w:rsidRPr="0019054D">
        <w:rPr>
          <w:u w:val="single"/>
          <w:lang w:val="en-US"/>
        </w:rPr>
        <w:t>Doerge</w:t>
      </w:r>
      <w:proofErr w:type="spellEnd"/>
      <w:r w:rsidRPr="0019054D">
        <w:rPr>
          <w:u w:val="single"/>
          <w:lang w:val="en-US"/>
        </w:rPr>
        <w:t xml:space="preserve"> DR. Anti-</w:t>
      </w:r>
      <w:proofErr w:type="spellStart"/>
      <w:r w:rsidRPr="0019054D">
        <w:rPr>
          <w:u w:val="single"/>
          <w:lang w:val="en-US"/>
        </w:rPr>
        <w:t>thiroid</w:t>
      </w:r>
      <w:proofErr w:type="spellEnd"/>
      <w:r w:rsidRPr="0019054D">
        <w:rPr>
          <w:u w:val="single"/>
          <w:lang w:val="en-US"/>
        </w:rPr>
        <w:t xml:space="preserve"> </w:t>
      </w:r>
      <w:proofErr w:type="spellStart"/>
      <w:r w:rsidRPr="0019054D">
        <w:rPr>
          <w:u w:val="single"/>
          <w:lang w:val="en-US"/>
        </w:rPr>
        <w:t>isoflavones</w:t>
      </w:r>
      <w:proofErr w:type="spellEnd"/>
      <w:r w:rsidRPr="0019054D">
        <w:rPr>
          <w:u w:val="single"/>
          <w:lang w:val="en-US"/>
        </w:rPr>
        <w:t xml:space="preserve"> from soy bean. </w:t>
      </w:r>
      <w:proofErr w:type="gramStart"/>
      <w:r w:rsidRPr="0019054D">
        <w:rPr>
          <w:u w:val="single"/>
          <w:lang w:val="en-US"/>
        </w:rPr>
        <w:t>Isolation, characterization and mechanisms of action.</w:t>
      </w:r>
      <w:proofErr w:type="gramEnd"/>
      <w:r w:rsidRPr="0019054D">
        <w:rPr>
          <w:u w:val="single"/>
          <w:lang w:val="en-US"/>
        </w:rPr>
        <w:t xml:space="preserve"> </w:t>
      </w:r>
      <w:proofErr w:type="spellStart"/>
      <w:proofErr w:type="gramStart"/>
      <w:r w:rsidRPr="0019054D">
        <w:rPr>
          <w:u w:val="single"/>
          <w:lang w:val="en-US"/>
        </w:rPr>
        <w:t>Biochem</w:t>
      </w:r>
      <w:proofErr w:type="spellEnd"/>
      <w:r w:rsidRPr="0019054D">
        <w:rPr>
          <w:u w:val="single"/>
          <w:lang w:val="en-US"/>
        </w:rPr>
        <w:t xml:space="preserve"> </w:t>
      </w:r>
      <w:proofErr w:type="spellStart"/>
      <w:r w:rsidRPr="0019054D">
        <w:rPr>
          <w:u w:val="single"/>
          <w:lang w:val="en-US"/>
        </w:rPr>
        <w:t>Pharmacol</w:t>
      </w:r>
      <w:proofErr w:type="spellEnd"/>
      <w:r w:rsidRPr="0019054D">
        <w:rPr>
          <w:u w:val="single"/>
          <w:lang w:val="en-US"/>
        </w:rPr>
        <w:t xml:space="preserve"> 1997; 54: 1087-96.</w:t>
      </w:r>
      <w:proofErr w:type="gramEnd"/>
    </w:p>
    <w:p w:rsidR="00463413" w:rsidRPr="0039499E" w:rsidRDefault="00463413" w:rsidP="0019054D">
      <w:pPr>
        <w:jc w:val="both"/>
        <w:rPr>
          <w:u w:val="single"/>
          <w:lang w:val="en-US"/>
        </w:rPr>
      </w:pPr>
      <w:r w:rsidRPr="0019054D">
        <w:rPr>
          <w:u w:val="single"/>
          <w:lang w:val="en-US"/>
        </w:rPr>
        <w:t xml:space="preserve">YIM, D. </w:t>
      </w:r>
      <w:r w:rsidRPr="0019054D">
        <w:rPr>
          <w:i/>
          <w:u w:val="single"/>
          <w:lang w:val="en-US"/>
        </w:rPr>
        <w:t>et al</w:t>
      </w:r>
      <w:r w:rsidRPr="0019054D">
        <w:rPr>
          <w:u w:val="single"/>
          <w:lang w:val="en-US"/>
        </w:rPr>
        <w:t xml:space="preserve">. </w:t>
      </w:r>
      <w:r w:rsidRPr="0019054D">
        <w:rPr>
          <w:u w:val="single"/>
        </w:rPr>
        <w:t xml:space="preserve">Efeito da </w:t>
      </w:r>
      <w:proofErr w:type="spellStart"/>
      <w:r w:rsidRPr="0019054D">
        <w:rPr>
          <w:u w:val="single"/>
        </w:rPr>
        <w:t>isoflavona</w:t>
      </w:r>
      <w:proofErr w:type="spellEnd"/>
      <w:r w:rsidRPr="0019054D">
        <w:rPr>
          <w:u w:val="single"/>
        </w:rPr>
        <w:t xml:space="preserve"> </w:t>
      </w:r>
      <w:proofErr w:type="gramStart"/>
      <w:r w:rsidRPr="0019054D">
        <w:rPr>
          <w:u w:val="single"/>
        </w:rPr>
        <w:t>na</w:t>
      </w:r>
      <w:proofErr w:type="gramEnd"/>
      <w:r w:rsidRPr="0019054D">
        <w:rPr>
          <w:u w:val="single"/>
        </w:rPr>
        <w:t xml:space="preserve"> síndrome do climatério. </w:t>
      </w:r>
      <w:r w:rsidRPr="0039499E">
        <w:rPr>
          <w:u w:val="single"/>
          <w:lang w:val="en-US"/>
        </w:rPr>
        <w:t>São Paulo: UNIFESP/EPM.</w:t>
      </w:r>
      <w:r w:rsidR="000C6DF8" w:rsidRPr="0039499E">
        <w:rPr>
          <w:u w:val="single"/>
          <w:lang w:val="en-US"/>
        </w:rPr>
        <w:t xml:space="preserve"> 2000.</w:t>
      </w:r>
    </w:p>
    <w:p w:rsidR="00463413" w:rsidRPr="0019054D" w:rsidRDefault="00463413" w:rsidP="0019054D">
      <w:pPr>
        <w:jc w:val="both"/>
        <w:rPr>
          <w:u w:val="single"/>
          <w:lang w:val="en-US"/>
        </w:rPr>
      </w:pPr>
      <w:r w:rsidRPr="0039499E">
        <w:rPr>
          <w:u w:val="single"/>
          <w:lang w:val="en-US"/>
        </w:rPr>
        <w:t xml:space="preserve">BLOEDON, LA. </w:t>
      </w:r>
      <w:r w:rsidRPr="0039499E">
        <w:rPr>
          <w:i/>
          <w:u w:val="single"/>
          <w:lang w:val="en-US"/>
        </w:rPr>
        <w:t>et al</w:t>
      </w:r>
      <w:r w:rsidRPr="0039499E">
        <w:rPr>
          <w:u w:val="single"/>
          <w:lang w:val="en-US"/>
        </w:rPr>
        <w:t xml:space="preserve">. </w:t>
      </w:r>
      <w:r w:rsidRPr="0019054D">
        <w:rPr>
          <w:u w:val="single"/>
          <w:lang w:val="en-US"/>
        </w:rPr>
        <w:t xml:space="preserve">Safety and pharmacokinetics of purified soy </w:t>
      </w:r>
      <w:proofErr w:type="spellStart"/>
      <w:r w:rsidRPr="0019054D">
        <w:rPr>
          <w:u w:val="single"/>
          <w:lang w:val="en-US"/>
        </w:rPr>
        <w:t>isoflavones</w:t>
      </w:r>
      <w:proofErr w:type="spellEnd"/>
      <w:r w:rsidRPr="0019054D">
        <w:rPr>
          <w:u w:val="single"/>
          <w:lang w:val="en-US"/>
        </w:rPr>
        <w:t xml:space="preserve">: single-dose administration to postmenopausal women. </w:t>
      </w:r>
      <w:proofErr w:type="gramStart"/>
      <w:r w:rsidRPr="0019054D">
        <w:rPr>
          <w:u w:val="single"/>
          <w:lang w:val="en-US"/>
        </w:rPr>
        <w:t xml:space="preserve">Am J </w:t>
      </w:r>
      <w:proofErr w:type="spellStart"/>
      <w:r w:rsidRPr="0019054D">
        <w:rPr>
          <w:u w:val="single"/>
          <w:lang w:val="en-US"/>
        </w:rPr>
        <w:t>Clin</w:t>
      </w:r>
      <w:proofErr w:type="spellEnd"/>
      <w:r w:rsidRPr="0019054D">
        <w:rPr>
          <w:u w:val="single"/>
          <w:lang w:val="en-US"/>
        </w:rPr>
        <w:t xml:space="preserve"> </w:t>
      </w:r>
      <w:proofErr w:type="spellStart"/>
      <w:r w:rsidRPr="0019054D">
        <w:rPr>
          <w:u w:val="single"/>
          <w:lang w:val="en-US"/>
        </w:rPr>
        <w:t>Nutr</w:t>
      </w:r>
      <w:proofErr w:type="spellEnd"/>
      <w:r w:rsidRPr="0019054D">
        <w:rPr>
          <w:u w:val="single"/>
          <w:lang w:val="en-US"/>
        </w:rPr>
        <w:t>.</w:t>
      </w:r>
      <w:proofErr w:type="gramEnd"/>
      <w:r w:rsidRPr="0019054D">
        <w:rPr>
          <w:u w:val="single"/>
          <w:lang w:val="en-US"/>
        </w:rPr>
        <w:t xml:space="preserve"> 76: 1126-37, 2002.</w:t>
      </w:r>
    </w:p>
    <w:p w:rsidR="00463413" w:rsidRPr="0019054D" w:rsidRDefault="00463413" w:rsidP="0019054D">
      <w:pPr>
        <w:jc w:val="both"/>
        <w:rPr>
          <w:u w:val="single"/>
          <w:lang w:val="en-US"/>
        </w:rPr>
      </w:pPr>
      <w:r w:rsidRPr="0019054D">
        <w:rPr>
          <w:u w:val="single"/>
          <w:lang w:val="en-US"/>
        </w:rPr>
        <w:t>SCAMBIA, G.</w:t>
      </w:r>
      <w:r w:rsidRPr="0019054D">
        <w:rPr>
          <w:i/>
          <w:u w:val="single"/>
          <w:lang w:val="en-US"/>
        </w:rPr>
        <w:t xml:space="preserve"> et al</w:t>
      </w:r>
      <w:r w:rsidRPr="0019054D">
        <w:rPr>
          <w:u w:val="single"/>
          <w:lang w:val="en-US"/>
        </w:rPr>
        <w:t xml:space="preserve">. Clinical effects of </w:t>
      </w:r>
      <w:proofErr w:type="gramStart"/>
      <w:r w:rsidRPr="0019054D">
        <w:rPr>
          <w:u w:val="single"/>
          <w:lang w:val="en-US"/>
        </w:rPr>
        <w:t>a standardizes</w:t>
      </w:r>
      <w:proofErr w:type="gramEnd"/>
      <w:r w:rsidRPr="0019054D">
        <w:rPr>
          <w:u w:val="single"/>
          <w:lang w:val="en-US"/>
        </w:rPr>
        <w:t xml:space="preserve"> soy extract in postmenopausal women: a pilot study. </w:t>
      </w:r>
      <w:proofErr w:type="gramStart"/>
      <w:r w:rsidRPr="0019054D">
        <w:rPr>
          <w:u w:val="single"/>
          <w:lang w:val="en-US"/>
        </w:rPr>
        <w:t>Menopause.</w:t>
      </w:r>
      <w:proofErr w:type="gramEnd"/>
      <w:r w:rsidRPr="0019054D">
        <w:rPr>
          <w:u w:val="single"/>
          <w:lang w:val="en-US"/>
        </w:rPr>
        <w:t xml:space="preserve"> </w:t>
      </w:r>
      <w:proofErr w:type="gramStart"/>
      <w:r w:rsidRPr="0019054D">
        <w:rPr>
          <w:u w:val="single"/>
          <w:lang w:val="en-US"/>
        </w:rPr>
        <w:t>7 (2) 2000.</w:t>
      </w:r>
      <w:proofErr w:type="gramEnd"/>
    </w:p>
    <w:p w:rsidR="00463413" w:rsidRPr="0019054D" w:rsidRDefault="0039499E" w:rsidP="0019054D">
      <w:pPr>
        <w:jc w:val="both"/>
        <w:rPr>
          <w:u w:val="single"/>
          <w:lang w:val="en-US"/>
        </w:rPr>
      </w:pPr>
      <w:r>
        <w:lastRenderedPageBreak/>
        <w:fldChar w:fldCharType="begin"/>
      </w:r>
      <w:r w:rsidRPr="0039499E">
        <w:rPr>
          <w:lang w:val="en-US"/>
        </w:rPr>
        <w:instrText xml:space="preserve"> HYPERLINK "http:</w:instrText>
      </w:r>
      <w:r w:rsidRPr="0039499E">
        <w:rPr>
          <w:lang w:val="en-US"/>
        </w:rPr>
        <w:instrText xml:space="preserve">//www.ncbi.nlm.nih.gov/pubmed?term=%22Ju%20YH%22%5BAuthor%5D" </w:instrText>
      </w:r>
      <w:r>
        <w:fldChar w:fldCharType="separate"/>
      </w:r>
      <w:r w:rsidR="00463413" w:rsidRPr="0019054D">
        <w:rPr>
          <w:u w:val="single"/>
          <w:lang w:val="en-US"/>
        </w:rPr>
        <w:t>JU YH</w:t>
      </w:r>
      <w:r>
        <w:rPr>
          <w:u w:val="single"/>
          <w:lang w:val="en-US"/>
        </w:rPr>
        <w:fldChar w:fldCharType="end"/>
      </w:r>
      <w:r w:rsidR="00463413" w:rsidRPr="0019054D">
        <w:rPr>
          <w:u w:val="single"/>
          <w:lang w:val="en-US"/>
        </w:rPr>
        <w:t xml:space="preserve"> et al. Dietary </w:t>
      </w:r>
      <w:proofErr w:type="spellStart"/>
      <w:r w:rsidR="00463413" w:rsidRPr="0019054D">
        <w:rPr>
          <w:u w:val="single"/>
          <w:lang w:val="en-US"/>
        </w:rPr>
        <w:t>genistein</w:t>
      </w:r>
      <w:proofErr w:type="spellEnd"/>
      <w:r w:rsidR="00463413" w:rsidRPr="0019054D">
        <w:rPr>
          <w:u w:val="single"/>
          <w:lang w:val="en-US"/>
        </w:rPr>
        <w:t xml:space="preserve"> negates the inhibitory effect of </w:t>
      </w:r>
      <w:proofErr w:type="spellStart"/>
      <w:r w:rsidR="00463413" w:rsidRPr="0019054D">
        <w:rPr>
          <w:u w:val="single"/>
          <w:lang w:val="en-US"/>
        </w:rPr>
        <w:t>tamoxifen</w:t>
      </w:r>
      <w:proofErr w:type="spellEnd"/>
      <w:r w:rsidR="00463413" w:rsidRPr="0019054D">
        <w:rPr>
          <w:u w:val="single"/>
          <w:lang w:val="en-US"/>
        </w:rPr>
        <w:t xml:space="preserve"> on growth of estrogen-dependent human breast cancer (MCF-7) cells implanted in </w:t>
      </w:r>
      <w:proofErr w:type="spellStart"/>
      <w:r w:rsidR="00463413" w:rsidRPr="0019054D">
        <w:rPr>
          <w:u w:val="single"/>
          <w:lang w:val="en-US"/>
        </w:rPr>
        <w:t>athymic</w:t>
      </w:r>
      <w:proofErr w:type="spellEnd"/>
      <w:r w:rsidR="00463413" w:rsidRPr="0019054D">
        <w:rPr>
          <w:u w:val="single"/>
          <w:lang w:val="en-US"/>
        </w:rPr>
        <w:t xml:space="preserve"> mice. </w:t>
      </w:r>
      <w:hyperlink r:id="rId7" w:tooltip="Cancer research." w:history="1">
        <w:r w:rsidR="00463413" w:rsidRPr="0019054D">
          <w:rPr>
            <w:u w:val="single"/>
            <w:lang w:val="en-US"/>
          </w:rPr>
          <w:t>Cancer Res.</w:t>
        </w:r>
      </w:hyperlink>
      <w:r w:rsidR="00463413" w:rsidRPr="0019054D">
        <w:rPr>
          <w:u w:val="single"/>
          <w:lang w:val="en-US"/>
        </w:rPr>
        <w:t xml:space="preserve"> 62(9):2474-7, 2002.</w:t>
      </w:r>
    </w:p>
    <w:p w:rsidR="008347A6" w:rsidRDefault="008347A6" w:rsidP="008347A6"/>
    <w:p w:rsidR="00D83590" w:rsidRDefault="0039499E"/>
    <w:sectPr w:rsidR="00D83590" w:rsidSect="0006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149"/>
    <w:multiLevelType w:val="hybridMultilevel"/>
    <w:tmpl w:val="11204D9E"/>
    <w:lvl w:ilvl="0" w:tplc="04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C360B"/>
    <w:multiLevelType w:val="hybridMultilevel"/>
    <w:tmpl w:val="02665012"/>
    <w:lvl w:ilvl="0" w:tplc="A06E23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A6CE3"/>
    <w:multiLevelType w:val="hybridMultilevel"/>
    <w:tmpl w:val="15EA1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37CC3"/>
    <w:multiLevelType w:val="hybridMultilevel"/>
    <w:tmpl w:val="18689A4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947A4"/>
    <w:multiLevelType w:val="hybridMultilevel"/>
    <w:tmpl w:val="E47A9A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7A6"/>
    <w:rsid w:val="00056230"/>
    <w:rsid w:val="00065B0F"/>
    <w:rsid w:val="000B15A0"/>
    <w:rsid w:val="000C6DF8"/>
    <w:rsid w:val="00144C32"/>
    <w:rsid w:val="00151685"/>
    <w:rsid w:val="0019054D"/>
    <w:rsid w:val="00287297"/>
    <w:rsid w:val="0039499E"/>
    <w:rsid w:val="003B439F"/>
    <w:rsid w:val="00415775"/>
    <w:rsid w:val="00463413"/>
    <w:rsid w:val="004F4F36"/>
    <w:rsid w:val="006239CD"/>
    <w:rsid w:val="00702F15"/>
    <w:rsid w:val="007038C3"/>
    <w:rsid w:val="007D2FF0"/>
    <w:rsid w:val="008347A6"/>
    <w:rsid w:val="00854C20"/>
    <w:rsid w:val="0090282D"/>
    <w:rsid w:val="00953BCA"/>
    <w:rsid w:val="00A7059B"/>
    <w:rsid w:val="00AD03E4"/>
    <w:rsid w:val="00B97344"/>
    <w:rsid w:val="00BE174D"/>
    <w:rsid w:val="00C804D3"/>
    <w:rsid w:val="00D91CF2"/>
    <w:rsid w:val="00DC6E28"/>
    <w:rsid w:val="00E713F3"/>
    <w:rsid w:val="00F75875"/>
    <w:rsid w:val="00F9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47A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347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2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297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15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5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5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5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5A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47A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347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2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297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15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5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5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5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5A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AL_get(this,%20'jour',%20'Cancer%20Res.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Ju%20YH%22%5BAuthor%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2551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Camila Miranda Moura</cp:lastModifiedBy>
  <cp:revision>19</cp:revision>
  <dcterms:created xsi:type="dcterms:W3CDTF">2014-06-12T12:26:00Z</dcterms:created>
  <dcterms:modified xsi:type="dcterms:W3CDTF">2014-08-18T14:06:00Z</dcterms:modified>
</cp:coreProperties>
</file>