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  <w:bCs/>
        </w:rPr>
        <w:t>IDENTIFICAÇÃO DO MEDICAMENTO</w:t>
      </w:r>
    </w:p>
    <w:p w:rsidR="00295240" w:rsidRPr="003D01D1" w:rsidRDefault="00295240" w:rsidP="003D01D1">
      <w:pPr>
        <w:jc w:val="both"/>
        <w:rPr>
          <w:b/>
          <w:bCs/>
        </w:rPr>
      </w:pPr>
    </w:p>
    <w:p w:rsidR="00295240" w:rsidRPr="003D01D1" w:rsidRDefault="00295240" w:rsidP="003D01D1">
      <w:pPr>
        <w:jc w:val="both"/>
        <w:rPr>
          <w:u w:val="single"/>
        </w:rPr>
      </w:pPr>
      <w:r w:rsidRPr="003D01D1">
        <w:rPr>
          <w:u w:val="single"/>
        </w:rPr>
        <w:t>Citar o nome comercial do medicamento.</w:t>
      </w:r>
    </w:p>
    <w:p w:rsidR="00216BA0" w:rsidRPr="003D01D1" w:rsidRDefault="00216BA0" w:rsidP="003D01D1">
      <w:pPr>
        <w:jc w:val="both"/>
        <w:rPr>
          <w:b/>
          <w:bCs/>
        </w:rPr>
      </w:pP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  <w:bCs/>
        </w:rPr>
        <w:t xml:space="preserve">MEDICAMENTO FITOTERÁPICO </w:t>
      </w:r>
    </w:p>
    <w:p w:rsidR="00295240" w:rsidRPr="003D01D1" w:rsidRDefault="00295240" w:rsidP="003D01D1">
      <w:pPr>
        <w:jc w:val="both"/>
        <w:outlineLvl w:val="0"/>
        <w:rPr>
          <w:b/>
        </w:rPr>
      </w:pPr>
    </w:p>
    <w:p w:rsidR="00056C6A" w:rsidRPr="003D01D1" w:rsidRDefault="00216BA0" w:rsidP="003D01D1">
      <w:pPr>
        <w:jc w:val="both"/>
        <w:outlineLvl w:val="0"/>
        <w:rPr>
          <w:i/>
          <w:iCs/>
        </w:rPr>
      </w:pPr>
      <w:r w:rsidRPr="003D01D1">
        <w:rPr>
          <w:b/>
        </w:rPr>
        <w:t>Nomenclatura botânica oficial</w:t>
      </w:r>
      <w:r w:rsidRPr="003D01D1">
        <w:rPr>
          <w:b/>
          <w:i/>
        </w:rPr>
        <w:t>:</w:t>
      </w:r>
      <w:r w:rsidRPr="003D01D1">
        <w:t xml:space="preserve"> </w:t>
      </w:r>
      <w:r w:rsidRPr="003D01D1">
        <w:rPr>
          <w:i/>
          <w:iCs/>
        </w:rPr>
        <w:t xml:space="preserve">Senna alexandrina </w:t>
      </w:r>
      <w:r w:rsidRPr="003D01D1">
        <w:rPr>
          <w:iCs/>
        </w:rPr>
        <w:t>Mill.</w:t>
      </w:r>
      <w:r w:rsidRPr="003D01D1">
        <w:rPr>
          <w:i/>
          <w:iCs/>
        </w:rPr>
        <w:t xml:space="preserve"> </w:t>
      </w:r>
    </w:p>
    <w:p w:rsidR="00216BA0" w:rsidRPr="003D01D1" w:rsidRDefault="00216BA0" w:rsidP="003D01D1">
      <w:pPr>
        <w:jc w:val="both"/>
        <w:outlineLvl w:val="0"/>
        <w:rPr>
          <w:i/>
        </w:rPr>
      </w:pPr>
      <w:r w:rsidRPr="003D01D1">
        <w:rPr>
          <w:b/>
        </w:rPr>
        <w:t>Nomenclatura popular:</w:t>
      </w:r>
      <w:r w:rsidRPr="003D01D1">
        <w:t xml:space="preserve"> </w:t>
      </w:r>
      <w:r w:rsidRPr="003D01D1">
        <w:rPr>
          <w:iCs/>
        </w:rPr>
        <w:t>Sene, sena</w:t>
      </w:r>
    </w:p>
    <w:p w:rsidR="00216BA0" w:rsidRPr="003D01D1" w:rsidRDefault="00216BA0" w:rsidP="003D01D1">
      <w:pPr>
        <w:tabs>
          <w:tab w:val="left" w:pos="9240"/>
        </w:tabs>
        <w:ind w:right="39"/>
        <w:jc w:val="both"/>
        <w:rPr>
          <w:i/>
        </w:rPr>
      </w:pPr>
      <w:r w:rsidRPr="003D01D1">
        <w:rPr>
          <w:b/>
        </w:rPr>
        <w:t xml:space="preserve">Família: </w:t>
      </w:r>
      <w:proofErr w:type="spellStart"/>
      <w:r w:rsidRPr="003D01D1">
        <w:rPr>
          <w:iCs/>
        </w:rPr>
        <w:t>Fabaceae</w:t>
      </w:r>
      <w:proofErr w:type="spellEnd"/>
    </w:p>
    <w:p w:rsidR="00216BA0" w:rsidRPr="003D01D1" w:rsidRDefault="00216BA0" w:rsidP="003D01D1">
      <w:pPr>
        <w:tabs>
          <w:tab w:val="left" w:pos="9240"/>
        </w:tabs>
        <w:ind w:right="39"/>
        <w:jc w:val="both"/>
      </w:pPr>
      <w:r w:rsidRPr="003D01D1">
        <w:rPr>
          <w:b/>
        </w:rPr>
        <w:t>Parte da planta utilizada</w:t>
      </w:r>
      <w:r w:rsidRPr="003D01D1">
        <w:t xml:space="preserve">: </w:t>
      </w:r>
      <w:r w:rsidR="00295240" w:rsidRPr="003D01D1">
        <w:t>Folhas e f</w:t>
      </w:r>
      <w:r w:rsidRPr="003D01D1">
        <w:t>rutos</w:t>
      </w:r>
    </w:p>
    <w:p w:rsidR="00216BA0" w:rsidRPr="003D01D1" w:rsidRDefault="00216BA0" w:rsidP="003D01D1">
      <w:pPr>
        <w:jc w:val="both"/>
        <w:rPr>
          <w:b/>
        </w:rPr>
      </w:pPr>
    </w:p>
    <w:p w:rsidR="00216BA0" w:rsidRPr="003D01D1" w:rsidRDefault="00216BA0" w:rsidP="003D01D1">
      <w:pPr>
        <w:jc w:val="both"/>
        <w:rPr>
          <w:b/>
        </w:rPr>
      </w:pPr>
      <w:r w:rsidRPr="003D01D1">
        <w:rPr>
          <w:b/>
        </w:rPr>
        <w:t>APRESENTAÇÕES</w:t>
      </w:r>
    </w:p>
    <w:p w:rsidR="00295240" w:rsidRPr="003D01D1" w:rsidRDefault="00295240" w:rsidP="003D01D1">
      <w:pPr>
        <w:jc w:val="both"/>
        <w:rPr>
          <w:b/>
        </w:rPr>
      </w:pPr>
    </w:p>
    <w:p w:rsidR="00295240" w:rsidRPr="003D01D1" w:rsidRDefault="00295240" w:rsidP="003D01D1">
      <w:pPr>
        <w:jc w:val="both"/>
        <w:rPr>
          <w:u w:val="single"/>
        </w:rPr>
      </w:pPr>
      <w:r w:rsidRPr="003D01D1">
        <w:rPr>
          <w:u w:val="single"/>
        </w:rPr>
        <w:t>Citar apresentações comercializadas, informando:</w:t>
      </w:r>
      <w:r w:rsidRPr="003D01D1">
        <w:rPr>
          <w:b/>
          <w:u w:val="single"/>
        </w:rPr>
        <w:cr/>
      </w:r>
      <w:r w:rsidRPr="003D01D1">
        <w:rPr>
          <w:u w:val="single"/>
        </w:rPr>
        <w:t>- a forma farmacêutica;</w:t>
      </w:r>
      <w:r w:rsidRPr="003D01D1">
        <w:rPr>
          <w:u w:val="single"/>
        </w:rPr>
        <w:cr/>
        <w:t xml:space="preserve">- a concentração do(s) princípio(s) ativo(s), por unidade de medida ou unidade farmacotécnica, conforme o caso; </w:t>
      </w:r>
      <w:r w:rsidRPr="003D01D1">
        <w:rPr>
          <w:u w:val="single"/>
        </w:rPr>
        <w:cr/>
        <w:t>- a quantidade total de peso, volume líquido ou unidades farmacotécnicas, conforme o caso;</w:t>
      </w:r>
      <w:r w:rsidRPr="003D01D1">
        <w:rPr>
          <w:u w:val="single"/>
        </w:rPr>
        <w:cr/>
        <w:t xml:space="preserve">- a quantidade total de acessórios dosadores que acompanha as apresentações, quando aplicável.  </w:t>
      </w:r>
    </w:p>
    <w:p w:rsidR="00216BA0" w:rsidRPr="003D01D1" w:rsidRDefault="00216BA0" w:rsidP="003D01D1">
      <w:pPr>
        <w:jc w:val="both"/>
      </w:pPr>
      <w:r w:rsidRPr="003D01D1">
        <w:t xml:space="preserve"> </w:t>
      </w:r>
      <w:r w:rsidRPr="003D01D1" w:rsidDel="009F14DC">
        <w:t xml:space="preserve"> </w:t>
      </w:r>
    </w:p>
    <w:p w:rsidR="00216BA0" w:rsidRPr="003D01D1" w:rsidRDefault="00216BA0" w:rsidP="003D01D1">
      <w:pPr>
        <w:jc w:val="both"/>
        <w:rPr>
          <w:b/>
        </w:rPr>
      </w:pPr>
    </w:p>
    <w:p w:rsidR="00216BA0" w:rsidRPr="003D01D1" w:rsidRDefault="00216BA0" w:rsidP="003D01D1">
      <w:pPr>
        <w:jc w:val="both"/>
        <w:rPr>
          <w:b/>
        </w:rPr>
      </w:pPr>
      <w:r w:rsidRPr="003D01D1">
        <w:rPr>
          <w:b/>
        </w:rPr>
        <w:t>USO ORAL</w:t>
      </w:r>
    </w:p>
    <w:p w:rsidR="00216BA0" w:rsidRPr="003D01D1" w:rsidRDefault="00216BA0" w:rsidP="003D01D1">
      <w:pPr>
        <w:jc w:val="both"/>
      </w:pPr>
      <w:r w:rsidRPr="003D01D1">
        <w:rPr>
          <w:b/>
        </w:rPr>
        <w:t xml:space="preserve">USO ADULTO </w:t>
      </w:r>
      <w:r w:rsidR="00295240" w:rsidRPr="003D01D1">
        <w:rPr>
          <w:b/>
        </w:rPr>
        <w:t xml:space="preserve">E PEDIÁTRICO </w:t>
      </w:r>
      <w:r w:rsidRPr="003D01D1">
        <w:rPr>
          <w:b/>
        </w:rPr>
        <w:t>ACIMA DE 12 ANOS</w:t>
      </w:r>
    </w:p>
    <w:p w:rsidR="00216BA0" w:rsidRPr="003D01D1" w:rsidRDefault="00216BA0" w:rsidP="003D01D1">
      <w:pPr>
        <w:jc w:val="both"/>
        <w:rPr>
          <w:b/>
        </w:rPr>
      </w:pPr>
    </w:p>
    <w:p w:rsidR="00216BA0" w:rsidRPr="003D01D1" w:rsidRDefault="00216BA0" w:rsidP="003D01D1">
      <w:pPr>
        <w:jc w:val="both"/>
        <w:rPr>
          <w:b/>
        </w:rPr>
      </w:pPr>
      <w:r w:rsidRPr="003D01D1">
        <w:rPr>
          <w:b/>
        </w:rPr>
        <w:t>COMPOSIÇÃO</w:t>
      </w:r>
    </w:p>
    <w:p w:rsidR="00216BA0" w:rsidRPr="003D01D1" w:rsidRDefault="00216BA0" w:rsidP="003D01D1">
      <w:pPr>
        <w:jc w:val="both"/>
      </w:pPr>
      <w:r w:rsidRPr="003D01D1">
        <w:t xml:space="preserve">Cada </w:t>
      </w:r>
      <w:r w:rsidRPr="003D01D1">
        <w:rPr>
          <w:u w:val="single"/>
        </w:rPr>
        <w:t>(forma farmacêutica)</w:t>
      </w:r>
      <w:r w:rsidRPr="003D01D1">
        <w:t xml:space="preserve"> contém:</w:t>
      </w:r>
    </w:p>
    <w:p w:rsidR="00295240" w:rsidRPr="000D06B5" w:rsidRDefault="00295240" w:rsidP="003D01D1">
      <w:pPr>
        <w:ind w:right="39"/>
        <w:jc w:val="both"/>
        <w:rPr>
          <w:rFonts w:eastAsia="Calibri"/>
        </w:rPr>
      </w:pPr>
      <w:r w:rsidRPr="000D06B5">
        <w:rPr>
          <w:u w:val="single"/>
        </w:rPr>
        <w:t>Derivado vegetal (a empresa deve indicar o derivado vegetal aprovado no dossiê de registro do fitoterápico)</w:t>
      </w:r>
      <w:r w:rsidRPr="000D06B5">
        <w:t xml:space="preserve"> de </w:t>
      </w:r>
      <w:r w:rsidRPr="000D06B5">
        <w:rPr>
          <w:i/>
          <w:iCs/>
        </w:rPr>
        <w:t xml:space="preserve">Senna </w:t>
      </w:r>
      <w:proofErr w:type="gramStart"/>
      <w:r w:rsidRPr="000D06B5">
        <w:rPr>
          <w:i/>
          <w:iCs/>
        </w:rPr>
        <w:t>alexandrina</w:t>
      </w:r>
      <w:r w:rsidRPr="000D06B5">
        <w:t xml:space="preserve"> ...</w:t>
      </w:r>
      <w:proofErr w:type="gramEnd"/>
      <w:r w:rsidRPr="000D06B5">
        <w:t xml:space="preserve">........ XXX </w:t>
      </w:r>
      <w:proofErr w:type="gramStart"/>
      <w:r w:rsidRPr="000D06B5">
        <w:t>mg</w:t>
      </w:r>
      <w:proofErr w:type="gramEnd"/>
      <w:r w:rsidRPr="000D06B5">
        <w:t xml:space="preserve"> (padronizado em XXX mg/unidade de medida ou XXX</w:t>
      </w:r>
      <w:proofErr w:type="gramStart"/>
      <w:r w:rsidRPr="000D06B5">
        <w:t xml:space="preserve">% de </w:t>
      </w:r>
      <w:r w:rsidRPr="000D06B5">
        <w:rPr>
          <w:iCs/>
        </w:rPr>
        <w:t xml:space="preserve">derivados </w:t>
      </w:r>
      <w:proofErr w:type="spellStart"/>
      <w:r w:rsidRPr="000D06B5">
        <w:t>hidroxiantracênicos</w:t>
      </w:r>
      <w:proofErr w:type="spellEnd"/>
      <w:r w:rsidRPr="000D06B5">
        <w:t xml:space="preserve"> expressos em </w:t>
      </w:r>
      <w:proofErr w:type="spellStart"/>
      <w:r w:rsidRPr="000D06B5">
        <w:t>senosídeo</w:t>
      </w:r>
      <w:proofErr w:type="spellEnd"/>
      <w:r w:rsidRPr="000D06B5">
        <w:t xml:space="preserve"> B)</w:t>
      </w:r>
      <w:proofErr w:type="gramEnd"/>
      <w:r w:rsidRPr="000D06B5">
        <w:rPr>
          <w:rFonts w:eastAsia="Calibri"/>
        </w:rPr>
        <w:t xml:space="preserve"> </w:t>
      </w:r>
    </w:p>
    <w:p w:rsidR="00295240" w:rsidRPr="000D06B5" w:rsidRDefault="00295240" w:rsidP="003D01D1">
      <w:pPr>
        <w:ind w:right="39"/>
        <w:jc w:val="both"/>
        <w:rPr>
          <w:i/>
          <w:iCs/>
        </w:rPr>
      </w:pPr>
      <w:r w:rsidRPr="000D06B5">
        <w:t xml:space="preserve">Equivalente a XXX </w:t>
      </w:r>
      <w:proofErr w:type="gramStart"/>
      <w:r w:rsidRPr="000D06B5">
        <w:t>mg</w:t>
      </w:r>
      <w:proofErr w:type="gramEnd"/>
      <w:r w:rsidRPr="000D06B5">
        <w:rPr>
          <w:iCs/>
        </w:rPr>
        <w:t xml:space="preserve"> de derivados </w:t>
      </w:r>
      <w:proofErr w:type="spellStart"/>
      <w:r w:rsidRPr="000D06B5">
        <w:t>hidroxiantracênicos</w:t>
      </w:r>
      <w:proofErr w:type="spellEnd"/>
      <w:r w:rsidRPr="000D06B5">
        <w:t xml:space="preserve"> expressos em </w:t>
      </w:r>
      <w:proofErr w:type="spellStart"/>
      <w:r w:rsidRPr="000D06B5">
        <w:t>senosídeo</w:t>
      </w:r>
      <w:proofErr w:type="spellEnd"/>
      <w:r w:rsidRPr="000D06B5">
        <w:t xml:space="preserve"> B /</w:t>
      </w:r>
      <w:r w:rsidRPr="000D06B5">
        <w:rPr>
          <w:u w:val="single"/>
        </w:rPr>
        <w:t>unidade de medida ou unidade farmacotécnica do produto terminado</w:t>
      </w:r>
    </w:p>
    <w:p w:rsidR="00295240" w:rsidRPr="000D06B5" w:rsidRDefault="00295240" w:rsidP="003D01D1">
      <w:pPr>
        <w:jc w:val="both"/>
      </w:pPr>
      <w:r w:rsidRPr="000D06B5">
        <w:rPr>
          <w:u w:val="single"/>
        </w:rPr>
        <w:t>Para os excipientes, descrever a composição qualitativa, conforme DCB</w:t>
      </w:r>
      <w:r w:rsidRPr="000D06B5">
        <w:t>.</w:t>
      </w:r>
    </w:p>
    <w:p w:rsidR="00295240" w:rsidRPr="000D06B5" w:rsidRDefault="00295240" w:rsidP="003D01D1">
      <w:pPr>
        <w:jc w:val="both"/>
        <w:rPr>
          <w:u w:val="single"/>
        </w:rPr>
      </w:pPr>
      <w:r w:rsidRPr="000D06B5">
        <w:rPr>
          <w:u w:val="single"/>
        </w:rPr>
        <w:t>Para formas farmacêuticas líquidas, quando o solvente for alcoólico, mencionar a graduação alcoólica do produto final.</w:t>
      </w:r>
    </w:p>
    <w:p w:rsidR="00295240" w:rsidRPr="003D01D1" w:rsidRDefault="00295240" w:rsidP="003D01D1">
      <w:pPr>
        <w:jc w:val="both"/>
        <w:rPr>
          <w:u w:val="single"/>
        </w:rPr>
      </w:pPr>
      <w:r w:rsidRPr="000D06B5">
        <w:rPr>
          <w:u w:val="single"/>
        </w:rPr>
        <w:t>Para medicamentos com forma farmacêutica líquida e em gotas, informar a equivalência de gotas para cada mililitro (gotas/mL) e massa por gota (</w:t>
      </w:r>
      <w:proofErr w:type="gramStart"/>
      <w:r w:rsidRPr="000D06B5">
        <w:rPr>
          <w:u w:val="single"/>
        </w:rPr>
        <w:t>mg</w:t>
      </w:r>
      <w:proofErr w:type="gramEnd"/>
      <w:r w:rsidRPr="000D06B5">
        <w:rPr>
          <w:u w:val="single"/>
        </w:rPr>
        <w:t>/gotas).</w:t>
      </w:r>
    </w:p>
    <w:p w:rsidR="00295240" w:rsidRPr="003D01D1" w:rsidRDefault="00295240" w:rsidP="003D01D1">
      <w:pPr>
        <w:jc w:val="both"/>
      </w:pP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  <w:bCs/>
        </w:rPr>
        <w:t>INFORMAÇÕES AO PACIENTE</w:t>
      </w:r>
      <w:r w:rsidR="006837B9" w:rsidRPr="003D01D1">
        <w:rPr>
          <w:b/>
          <w:bCs/>
        </w:rPr>
        <w:t>:</w:t>
      </w:r>
    </w:p>
    <w:p w:rsidR="00216BA0" w:rsidRPr="003D01D1" w:rsidRDefault="00216BA0" w:rsidP="003D01D1">
      <w:pPr>
        <w:tabs>
          <w:tab w:val="num" w:pos="1428"/>
        </w:tabs>
        <w:jc w:val="both"/>
        <w:rPr>
          <w:b/>
          <w:bCs/>
        </w:rPr>
      </w:pPr>
    </w:p>
    <w:p w:rsidR="00216BA0" w:rsidRPr="003D01D1" w:rsidRDefault="00216BA0" w:rsidP="003D01D1">
      <w:pPr>
        <w:tabs>
          <w:tab w:val="num" w:pos="1428"/>
        </w:tabs>
        <w:jc w:val="both"/>
      </w:pPr>
      <w:r w:rsidRPr="003D01D1">
        <w:rPr>
          <w:b/>
          <w:bCs/>
        </w:rPr>
        <w:t xml:space="preserve">1. </w:t>
      </w:r>
      <w:r w:rsidRPr="003D01D1">
        <w:rPr>
          <w:b/>
        </w:rPr>
        <w:t>PARA QU</w:t>
      </w:r>
      <w:r w:rsidR="006837B9" w:rsidRPr="003D01D1">
        <w:rPr>
          <w:b/>
        </w:rPr>
        <w:t>E</w:t>
      </w:r>
      <w:r w:rsidRPr="003D01D1">
        <w:rPr>
          <w:b/>
        </w:rPr>
        <w:t xml:space="preserve"> ESTE MEDICAMENTO É INDICADO</w:t>
      </w:r>
      <w:r w:rsidRPr="003D01D1">
        <w:t>?</w:t>
      </w:r>
    </w:p>
    <w:p w:rsidR="00216BA0" w:rsidRPr="003D01D1" w:rsidRDefault="00216BA0" w:rsidP="003D01D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3D01D1">
        <w:t>Este medicamento é destinado ao tratamento de p</w:t>
      </w:r>
      <w:r w:rsidRPr="003D01D1">
        <w:rPr>
          <w:bCs/>
        </w:rPr>
        <w:t>risão de ventre ocasional.</w:t>
      </w: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  <w:bCs/>
        </w:rPr>
        <w:t>2. COMO ESTE MEDICAMENTO FUNCIONA?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  <w:lang w:val="en-US"/>
        </w:rPr>
      </w:pPr>
      <w:r w:rsidRPr="003D01D1">
        <w:rPr>
          <w:rFonts w:ascii="Times New Roman" w:hAnsi="Times New Roman"/>
        </w:rPr>
        <w:t xml:space="preserve">Este medicamento possui uma ação laxativa e atua estimulando as contrações no intestino grosso, resultando em um trânsito acelerado do bolo fecal. Com isso, há uma diminuição na absorção de líquidos pelo intestino grosso, o que mantém o conteúdo intestinal com grande volume e pressão. </w:t>
      </w:r>
      <w:proofErr w:type="gramStart"/>
      <w:r w:rsidRPr="003D01D1">
        <w:rPr>
          <w:rFonts w:ascii="Times New Roman" w:hAnsi="Times New Roman"/>
          <w:u w:val="single"/>
          <w:lang w:val="en-US"/>
        </w:rPr>
        <w:t xml:space="preserve">(BLUMENTHAL et al., 1998; PHYSICIANS DESK REFERENCE, 2004; EUROPEAN SCIENTIFIC </w:t>
      </w:r>
      <w:r w:rsidRPr="003D01D1">
        <w:rPr>
          <w:rFonts w:ascii="Times New Roman" w:hAnsi="Times New Roman"/>
          <w:u w:val="single"/>
          <w:lang w:val="en-US"/>
        </w:rPr>
        <w:lastRenderedPageBreak/>
        <w:t>COOPERATIVE ON PHYTOTHERAPY, 1997; WORLD HEALTH ORGANIZATION, 2002; NEWALL, ANDERSON, PHILLIPSON, 1996).</w:t>
      </w:r>
      <w:proofErr w:type="gramEnd"/>
      <w:r w:rsidRPr="003D01D1">
        <w:rPr>
          <w:rFonts w:ascii="Times New Roman" w:hAnsi="Times New Roman"/>
          <w:lang w:val="en-US"/>
        </w:rPr>
        <w:t xml:space="preserve"> </w:t>
      </w:r>
    </w:p>
    <w:p w:rsidR="00216BA0" w:rsidRDefault="00216BA0" w:rsidP="003D01D1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3D01D1">
        <w:t xml:space="preserve">O tempo estimado para o inicio da ação deste medicamento é de </w:t>
      </w:r>
      <w:smartTag w:uri="urn:schemas-microsoft-com:office:smarttags" w:element="metricconverter">
        <w:smartTagPr>
          <w:attr w:name="ProductID" w:val="8 a"/>
        </w:smartTagPr>
        <w:r w:rsidRPr="003D01D1">
          <w:t>8 a</w:t>
        </w:r>
      </w:smartTag>
      <w:r w:rsidRPr="003D01D1">
        <w:t xml:space="preserve"> 12 horas </w:t>
      </w:r>
      <w:r w:rsidRPr="003D01D1">
        <w:rPr>
          <w:u w:val="single"/>
        </w:rPr>
        <w:t>(ESCOP, 1997; WHO, 1999).</w:t>
      </w:r>
    </w:p>
    <w:p w:rsidR="000D06B5" w:rsidRPr="00CC51B9" w:rsidRDefault="000D06B5" w:rsidP="000D06B5">
      <w:pPr>
        <w:autoSpaceDE w:val="0"/>
        <w:autoSpaceDN w:val="0"/>
        <w:adjustRightInd w:val="0"/>
      </w:pPr>
      <w:r w:rsidRPr="000D06B5">
        <w:rPr>
          <w:rFonts w:eastAsiaTheme="minorHAnsi"/>
          <w:u w:val="single"/>
          <w:lang w:eastAsia="en-US"/>
        </w:rPr>
        <w:t>Informar o tempo médio estimado para início da ação terapêutica do medicamento, quando aplicável.</w:t>
      </w:r>
      <w:r w:rsidRPr="000D06B5">
        <w:rPr>
          <w:rFonts w:eastAsiaTheme="minorHAnsi"/>
          <w:lang w:eastAsia="en-US"/>
        </w:rPr>
        <w:t xml:space="preserve"> </w:t>
      </w: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</w:rPr>
        <w:t xml:space="preserve">3. </w:t>
      </w:r>
      <w:r w:rsidRPr="003D01D1">
        <w:rPr>
          <w:b/>
          <w:bCs/>
        </w:rPr>
        <w:t xml:space="preserve">QUANDO NÃO DEVO USAR ESTE MEDICAMENTO? </w:t>
      </w:r>
    </w:p>
    <w:p w:rsidR="00216BA0" w:rsidRPr="003D01D1" w:rsidRDefault="00216BA0" w:rsidP="003D01D1">
      <w:pPr>
        <w:autoSpaceDE w:val="0"/>
        <w:autoSpaceDN w:val="0"/>
        <w:adjustRightInd w:val="0"/>
        <w:jc w:val="both"/>
        <w:rPr>
          <w:bCs/>
        </w:rPr>
      </w:pPr>
      <w:r w:rsidRPr="003D01D1">
        <w:rPr>
          <w:bCs/>
        </w:rPr>
        <w:t>Pacientes com histórico de hipersensibilidade e alergia a qualquer um dos componentes da fórmula não devem fazer uso do produto.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  <w:bCs/>
        </w:rPr>
      </w:pPr>
      <w:r w:rsidRPr="003D01D1">
        <w:rPr>
          <w:rFonts w:ascii="Times New Roman" w:hAnsi="Times New Roman"/>
          <w:bCs/>
        </w:rPr>
        <w:t xml:space="preserve">Não </w:t>
      </w:r>
      <w:proofErr w:type="gramStart"/>
      <w:r w:rsidRPr="003D01D1">
        <w:rPr>
          <w:rFonts w:ascii="Times New Roman" w:hAnsi="Times New Roman"/>
          <w:bCs/>
        </w:rPr>
        <w:t>deve</w:t>
      </w:r>
      <w:proofErr w:type="gramEnd"/>
      <w:r w:rsidRPr="003D01D1">
        <w:rPr>
          <w:rFonts w:ascii="Times New Roman" w:hAnsi="Times New Roman"/>
          <w:bCs/>
        </w:rPr>
        <w:t xml:space="preserve"> ser utilizado em casos de constipação crônica </w:t>
      </w:r>
      <w:r w:rsidRPr="003D01D1">
        <w:rPr>
          <w:rFonts w:ascii="Times New Roman" w:hAnsi="Times New Roman"/>
          <w:bCs/>
          <w:u w:val="single"/>
        </w:rPr>
        <w:t>(WHO, 1999)</w:t>
      </w:r>
      <w:r w:rsidRPr="003D01D1">
        <w:rPr>
          <w:rFonts w:ascii="Times New Roman" w:hAnsi="Times New Roman"/>
          <w:bCs/>
        </w:rPr>
        <w:t xml:space="preserve">, distúrbios intestinais, tais como obstrução e estenose intestinal, atonia, doenças inflamatórias intestinais (doença de </w:t>
      </w:r>
      <w:proofErr w:type="spellStart"/>
      <w:r w:rsidRPr="003D01D1">
        <w:rPr>
          <w:rFonts w:ascii="Times New Roman" w:hAnsi="Times New Roman"/>
          <w:bCs/>
        </w:rPr>
        <w:t>Crohn</w:t>
      </w:r>
      <w:proofErr w:type="spellEnd"/>
      <w:r w:rsidRPr="003D01D1">
        <w:rPr>
          <w:rFonts w:ascii="Times New Roman" w:hAnsi="Times New Roman"/>
          <w:bCs/>
        </w:rPr>
        <w:t xml:space="preserve">, colite ulcerativa, </w:t>
      </w:r>
      <w:proofErr w:type="spellStart"/>
      <w:r w:rsidRPr="003D01D1">
        <w:rPr>
          <w:rFonts w:ascii="Times New Roman" w:hAnsi="Times New Roman"/>
          <w:bCs/>
        </w:rPr>
        <w:t>colopatias</w:t>
      </w:r>
      <w:proofErr w:type="spellEnd"/>
      <w:r w:rsidRPr="003D01D1">
        <w:rPr>
          <w:rFonts w:ascii="Times New Roman" w:hAnsi="Times New Roman"/>
          <w:bCs/>
        </w:rPr>
        <w:t xml:space="preserve"> inflamatórias) e dores abdominais </w:t>
      </w:r>
      <w:r w:rsidRPr="003D01D1">
        <w:rPr>
          <w:rFonts w:ascii="Times New Roman" w:hAnsi="Times New Roman"/>
          <w:bCs/>
          <w:u w:val="single"/>
        </w:rPr>
        <w:t>(WHO, 1999; NEWALL, ANDERSON, PHILLIPSON,1996; BLUMENTHAL et al., 1998)</w:t>
      </w:r>
      <w:r w:rsidRPr="003D01D1">
        <w:rPr>
          <w:rFonts w:ascii="Times New Roman" w:hAnsi="Times New Roman"/>
          <w:bCs/>
        </w:rPr>
        <w:t xml:space="preserve">, desidratação severa </w:t>
      </w:r>
      <w:r w:rsidRPr="003D01D1">
        <w:rPr>
          <w:rFonts w:ascii="Times New Roman" w:hAnsi="Times New Roman"/>
          <w:bCs/>
          <w:u w:val="single"/>
        </w:rPr>
        <w:t>(ESCOP, 1997; WHO, 1999)</w:t>
      </w:r>
      <w:r w:rsidRPr="003D01D1">
        <w:rPr>
          <w:rFonts w:ascii="Times New Roman" w:hAnsi="Times New Roman"/>
          <w:bCs/>
        </w:rPr>
        <w:t xml:space="preserve">, </w:t>
      </w:r>
      <w:proofErr w:type="spellStart"/>
      <w:r w:rsidRPr="003D01D1">
        <w:rPr>
          <w:rFonts w:ascii="Times New Roman" w:hAnsi="Times New Roman"/>
          <w:bCs/>
        </w:rPr>
        <w:t>hemorróidas</w:t>
      </w:r>
      <w:proofErr w:type="spellEnd"/>
      <w:r w:rsidRPr="003D01D1">
        <w:rPr>
          <w:rFonts w:ascii="Times New Roman" w:hAnsi="Times New Roman"/>
          <w:bCs/>
        </w:rPr>
        <w:t xml:space="preserve">, apendicite, </w:t>
      </w:r>
      <w:proofErr w:type="spellStart"/>
      <w:r w:rsidRPr="003D01D1">
        <w:rPr>
          <w:rFonts w:ascii="Times New Roman" w:hAnsi="Times New Roman"/>
          <w:bCs/>
        </w:rPr>
        <w:t>hipocalemia</w:t>
      </w:r>
      <w:proofErr w:type="spellEnd"/>
      <w:r w:rsidRPr="003D01D1">
        <w:rPr>
          <w:rFonts w:ascii="Times New Roman" w:hAnsi="Times New Roman"/>
          <w:bCs/>
        </w:rPr>
        <w:t xml:space="preserve">, estados inflamatórios uterinos, período menstrual, cistite, insuficiência hepática, renal ou cardíaca </w:t>
      </w:r>
      <w:r w:rsidRPr="003D01D1">
        <w:rPr>
          <w:rFonts w:ascii="Times New Roman" w:hAnsi="Times New Roman"/>
          <w:bCs/>
          <w:u w:val="single"/>
        </w:rPr>
        <w:t>(MASSON, 1998; ALONSO, 1999)</w:t>
      </w:r>
      <w:r w:rsidRPr="003D01D1">
        <w:rPr>
          <w:rFonts w:ascii="Times New Roman" w:hAnsi="Times New Roman"/>
          <w:bCs/>
        </w:rPr>
        <w:t xml:space="preserve">. </w:t>
      </w:r>
    </w:p>
    <w:p w:rsidR="00216BA0" w:rsidRPr="003D01D1" w:rsidRDefault="00216BA0" w:rsidP="003D01D1">
      <w:pPr>
        <w:autoSpaceDE w:val="0"/>
        <w:autoSpaceDN w:val="0"/>
        <w:adjustRightInd w:val="0"/>
        <w:jc w:val="both"/>
        <w:outlineLvl w:val="0"/>
      </w:pPr>
      <w:r w:rsidRPr="003D01D1">
        <w:t xml:space="preserve">Assim como para outros laxantes, </w:t>
      </w:r>
      <w:r w:rsidR="00602515">
        <w:t>o sene (</w:t>
      </w:r>
      <w:r w:rsidRPr="003D01D1">
        <w:rPr>
          <w:i/>
        </w:rPr>
        <w:t>Senna</w:t>
      </w:r>
      <w:r w:rsidR="00602515">
        <w:rPr>
          <w:i/>
        </w:rPr>
        <w:t xml:space="preserve"> alexandrina</w:t>
      </w:r>
      <w:r w:rsidR="00602515" w:rsidRPr="00602515">
        <w:t>)</w:t>
      </w:r>
      <w:r w:rsidRPr="00602515">
        <w:t xml:space="preserve"> </w:t>
      </w:r>
      <w:r w:rsidRPr="003D01D1">
        <w:t xml:space="preserve">é contraindicada para pacientes com náuseas, vômito ou quando algum sintoma agudo ou crônico não diagnosticado estiver presente </w:t>
      </w:r>
      <w:r w:rsidRPr="003D01D1">
        <w:rPr>
          <w:u w:val="single"/>
        </w:rPr>
        <w:t>(WHO, 1999)</w:t>
      </w:r>
      <w:r w:rsidRPr="003D01D1">
        <w:t>.</w:t>
      </w:r>
    </w:p>
    <w:p w:rsidR="00216BA0" w:rsidRPr="003D01D1" w:rsidRDefault="00216BA0" w:rsidP="003D01D1">
      <w:pPr>
        <w:jc w:val="both"/>
      </w:pPr>
      <w:r w:rsidRPr="003D01D1">
        <w:rPr>
          <w:b/>
        </w:rPr>
        <w:t xml:space="preserve">Este medicamento é contraindicado para menores de 12 anos. </w:t>
      </w:r>
      <w:r w:rsidRPr="003D01D1">
        <w:rPr>
          <w:u w:val="single"/>
        </w:rPr>
        <w:t xml:space="preserve">(BLUMENTHAL </w:t>
      </w:r>
      <w:proofErr w:type="gramStart"/>
      <w:r w:rsidRPr="003D01D1">
        <w:rPr>
          <w:i/>
          <w:u w:val="single"/>
        </w:rPr>
        <w:t>et</w:t>
      </w:r>
      <w:proofErr w:type="gramEnd"/>
      <w:r w:rsidRPr="003D01D1">
        <w:rPr>
          <w:i/>
          <w:u w:val="single"/>
        </w:rPr>
        <w:t xml:space="preserve"> al</w:t>
      </w:r>
      <w:r w:rsidRPr="003D01D1">
        <w:rPr>
          <w:u w:val="single"/>
        </w:rPr>
        <w:t>., 1998)</w:t>
      </w:r>
    </w:p>
    <w:p w:rsidR="00216BA0" w:rsidRDefault="00216BA0" w:rsidP="003D01D1">
      <w:pPr>
        <w:autoSpaceDE w:val="0"/>
        <w:autoSpaceDN w:val="0"/>
        <w:adjustRightInd w:val="0"/>
        <w:jc w:val="both"/>
        <w:rPr>
          <w:u w:val="single"/>
        </w:rPr>
      </w:pPr>
      <w:r w:rsidRPr="003D01D1">
        <w:rPr>
          <w:b/>
        </w:rPr>
        <w:t xml:space="preserve">Este medicamento é contraindicado para uso por lactantes (mulheres amamentando) </w:t>
      </w:r>
      <w:r w:rsidRPr="003D01D1">
        <w:rPr>
          <w:u w:val="single"/>
        </w:rPr>
        <w:t>(ALONSO, 1999; ESCOP, 1997; PDR, 2004; WHO, 1999; MASSON, 1998).</w:t>
      </w:r>
    </w:p>
    <w:p w:rsidR="000D06B5" w:rsidRPr="00F36F31" w:rsidRDefault="000D06B5" w:rsidP="000D06B5">
      <w:pPr>
        <w:ind w:right="39"/>
        <w:jc w:val="both"/>
        <w:rPr>
          <w:u w:val="single"/>
        </w:rPr>
      </w:pPr>
      <w:r w:rsidRPr="000D06B5">
        <w:rPr>
          <w:u w:val="single"/>
        </w:rPr>
        <w:t xml:space="preserve">No caso de contraindicação para o uso de princípios ativos, classe terapêutica e excipientes, incluir, em negrito, as frases de alerta previstas em norma específica. </w:t>
      </w: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  <w:bCs/>
        </w:rPr>
        <w:t>4. O QUE DEVO SABER ANTES DE USAR ESTE MEDICAMENTO?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Em caso de hipersensibilidade ao produto, recomenda-se descontinuar o uso e consultar o médico. </w:t>
      </w:r>
    </w:p>
    <w:p w:rsidR="00216BA0" w:rsidRPr="003D01D1" w:rsidRDefault="00216BA0" w:rsidP="003D01D1">
      <w:pPr>
        <w:jc w:val="both"/>
      </w:pPr>
      <w:r w:rsidRPr="003D01D1">
        <w:t xml:space="preserve">O nível sérico de estrógeno é reduzido quando administrado concomitantemente com </w:t>
      </w:r>
      <w:r w:rsidR="00602515">
        <w:t>sene</w:t>
      </w:r>
      <w:r w:rsidRPr="003D01D1">
        <w:t xml:space="preserve">, devido ao efeito do trânsito intestinal sobre a absorção de estrogênios </w:t>
      </w:r>
      <w:r w:rsidRPr="003D01D1">
        <w:rPr>
          <w:u w:val="single"/>
        </w:rPr>
        <w:t>(PDR, 2004)</w:t>
      </w:r>
      <w:r w:rsidRPr="003D01D1">
        <w:t xml:space="preserve">. Isto deve ser lembrado por mulheres que fazem uso de contraceptivos orais. 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Em pacientes idosos, o uso contínuo de laxantes pode ocasionar exacerbação da fraqueza e hipotensão ortostática </w:t>
      </w:r>
      <w:r w:rsidRPr="003D01D1">
        <w:rPr>
          <w:rFonts w:ascii="Times New Roman" w:hAnsi="Times New Roman"/>
          <w:u w:val="single"/>
        </w:rPr>
        <w:t>(WHO, 1999)</w:t>
      </w:r>
      <w:r w:rsidRPr="003D01D1">
        <w:rPr>
          <w:rFonts w:ascii="Times New Roman" w:hAnsi="Times New Roman"/>
        </w:rPr>
        <w:t>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Sangramento retal ou insuficiência de movimentos intestinais, decorrentes do uso prolongado, podem indicar condições graves </w:t>
      </w:r>
      <w:r w:rsidRPr="003D01D1">
        <w:rPr>
          <w:rFonts w:ascii="Times New Roman" w:hAnsi="Times New Roman"/>
          <w:u w:val="single"/>
        </w:rPr>
        <w:t>(WHO, 1999)</w:t>
      </w:r>
      <w:r w:rsidRPr="003D01D1">
        <w:rPr>
          <w:rFonts w:ascii="Times New Roman" w:hAnsi="Times New Roman"/>
        </w:rPr>
        <w:t>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As antraquinonas podem alterar a cor da urina, que pode apresentar-se amarela ou marrom avermelhada, o que desaparece com a suspensão do uso do produto </w:t>
      </w:r>
      <w:r w:rsidRPr="003D01D1">
        <w:rPr>
          <w:rFonts w:ascii="Times New Roman" w:hAnsi="Times New Roman"/>
          <w:u w:val="single"/>
        </w:rPr>
        <w:t>(ALONSO, 1999; WHO, 1999)</w:t>
      </w:r>
      <w:r w:rsidRPr="003D01D1">
        <w:rPr>
          <w:rFonts w:ascii="Times New Roman" w:hAnsi="Times New Roman"/>
        </w:rPr>
        <w:t xml:space="preserve">. Esta alteração de coloração na urina pode influenciar em testes de diagnósticos </w:t>
      </w:r>
      <w:r w:rsidRPr="003D01D1">
        <w:rPr>
          <w:rFonts w:ascii="Times New Roman" w:hAnsi="Times New Roman"/>
          <w:u w:val="single"/>
        </w:rPr>
        <w:t xml:space="preserve">(WHO, 1999; ALONSO, 1999; BLUMENTHAL </w:t>
      </w:r>
      <w:proofErr w:type="gramStart"/>
      <w:r w:rsidRPr="003D01D1">
        <w:rPr>
          <w:rFonts w:ascii="Times New Roman" w:hAnsi="Times New Roman"/>
          <w:u w:val="single"/>
        </w:rPr>
        <w:t>et</w:t>
      </w:r>
      <w:proofErr w:type="gramEnd"/>
      <w:r w:rsidRPr="003D01D1">
        <w:rPr>
          <w:rFonts w:ascii="Times New Roman" w:hAnsi="Times New Roman"/>
          <w:u w:val="single"/>
        </w:rPr>
        <w:t xml:space="preserve"> al., 1998)</w:t>
      </w:r>
      <w:r w:rsidRPr="003D01D1">
        <w:rPr>
          <w:rFonts w:ascii="Times New Roman" w:hAnsi="Times New Roman"/>
        </w:rPr>
        <w:t xml:space="preserve">; pode ocorrer um resultado falso positivo para </w:t>
      </w:r>
      <w:proofErr w:type="spellStart"/>
      <w:r w:rsidRPr="003D01D1">
        <w:rPr>
          <w:rFonts w:ascii="Times New Roman" w:hAnsi="Times New Roman"/>
        </w:rPr>
        <w:t>urobilinogênio</w:t>
      </w:r>
      <w:proofErr w:type="spellEnd"/>
      <w:r w:rsidRPr="003D01D1">
        <w:rPr>
          <w:rFonts w:ascii="Times New Roman" w:hAnsi="Times New Roman"/>
        </w:rPr>
        <w:t xml:space="preserve"> e para dosagem de estrógeno pelo método de </w:t>
      </w:r>
      <w:proofErr w:type="spellStart"/>
      <w:r w:rsidRPr="003D01D1">
        <w:rPr>
          <w:rFonts w:ascii="Times New Roman" w:hAnsi="Times New Roman"/>
        </w:rPr>
        <w:t>Kober</w:t>
      </w:r>
      <w:proofErr w:type="spellEnd"/>
      <w:r w:rsidRPr="003D01D1">
        <w:rPr>
          <w:rFonts w:ascii="Times New Roman" w:hAnsi="Times New Roman"/>
        </w:rPr>
        <w:t xml:space="preserve"> </w:t>
      </w:r>
      <w:r w:rsidRPr="003D01D1">
        <w:rPr>
          <w:rFonts w:ascii="Times New Roman" w:hAnsi="Times New Roman"/>
          <w:u w:val="single"/>
        </w:rPr>
        <w:t>(WHO, 1999)</w:t>
      </w:r>
      <w:r w:rsidRPr="003D01D1">
        <w:rPr>
          <w:rFonts w:ascii="Times New Roman" w:hAnsi="Times New Roman"/>
        </w:rPr>
        <w:t xml:space="preserve">. </w:t>
      </w:r>
    </w:p>
    <w:p w:rsidR="00BD46F9" w:rsidRPr="003D01D1" w:rsidRDefault="00BD46F9" w:rsidP="003D01D1">
      <w:pPr>
        <w:autoSpaceDE w:val="0"/>
        <w:autoSpaceDN w:val="0"/>
        <w:adjustRightInd w:val="0"/>
        <w:jc w:val="both"/>
        <w:rPr>
          <w:b/>
        </w:rPr>
      </w:pPr>
      <w:r w:rsidRPr="003D01D1">
        <w:rPr>
          <w:b/>
        </w:rPr>
        <w:t>Este medicamento não deve ser utilizado por mulheres grávidas sem orientação médica ou do cirurgião-dentista.</w:t>
      </w:r>
    </w:p>
    <w:p w:rsidR="00216BA0" w:rsidRDefault="00216BA0" w:rsidP="003D01D1">
      <w:pPr>
        <w:jc w:val="both"/>
      </w:pPr>
      <w:r w:rsidRPr="003D01D1">
        <w:rPr>
          <w:b/>
        </w:rPr>
        <w:t>Informe ao seu médico ou cirurgião-dentista se você está fazendo uso de algum outro medicamento.</w:t>
      </w:r>
      <w:r w:rsidRPr="003D01D1">
        <w:t xml:space="preserve"> </w:t>
      </w:r>
    </w:p>
    <w:p w:rsidR="000D06B5" w:rsidRDefault="000D06B5" w:rsidP="000D06B5">
      <w:pPr>
        <w:jc w:val="both"/>
        <w:rPr>
          <w:b/>
        </w:rPr>
      </w:pPr>
      <w:r w:rsidRPr="00863861"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0D06B5" w:rsidRPr="00B5096D" w:rsidRDefault="000D06B5" w:rsidP="000D06B5">
      <w:pPr>
        <w:ind w:right="39"/>
        <w:jc w:val="both"/>
      </w:pPr>
      <w:r w:rsidRPr="000D06B5">
        <w:rPr>
          <w:u w:val="single"/>
        </w:rPr>
        <w:t>No caso de advertências e precauções para o uso de princípios ativos, classe terapêutica e excipientes, incluir, em negrito, as frases de alerta previstas em norma específica.</w:t>
      </w:r>
      <w:r w:rsidRPr="000D06B5">
        <w:t xml:space="preserve"> </w:t>
      </w:r>
    </w:p>
    <w:p w:rsidR="00216BA0" w:rsidRPr="003D01D1" w:rsidRDefault="00216BA0" w:rsidP="003D01D1">
      <w:pPr>
        <w:jc w:val="both"/>
      </w:pPr>
      <w:r w:rsidRPr="003D01D1">
        <w:rPr>
          <w:b/>
          <w:bCs/>
        </w:rPr>
        <w:t>5. ONDE, COMO E POR QUANTO TEMPO POSSO GUARDAR ESTE MEDICAMENTO?</w:t>
      </w:r>
      <w:r w:rsidRPr="003D01D1">
        <w:t xml:space="preserve"> </w:t>
      </w:r>
    </w:p>
    <w:p w:rsidR="006837B9" w:rsidRPr="003D01D1" w:rsidRDefault="006837B9" w:rsidP="003D01D1">
      <w:pPr>
        <w:jc w:val="both"/>
        <w:rPr>
          <w:u w:val="single"/>
        </w:rPr>
      </w:pPr>
      <w:r w:rsidRPr="003D01D1">
        <w:rPr>
          <w:u w:val="single"/>
        </w:rPr>
        <w:t xml:space="preserve">Descrever os cuidados de conservação do medicamento.  </w:t>
      </w:r>
    </w:p>
    <w:p w:rsidR="006837B9" w:rsidRPr="003D01D1" w:rsidRDefault="006837B9" w:rsidP="003D01D1">
      <w:pPr>
        <w:jc w:val="both"/>
        <w:rPr>
          <w:b/>
        </w:rPr>
      </w:pPr>
      <w:r w:rsidRPr="003D01D1">
        <w:rPr>
          <w:b/>
        </w:rPr>
        <w:t>Número de lote e datas de fabricação e validade: vide embalagem.</w:t>
      </w:r>
    </w:p>
    <w:p w:rsidR="006837B9" w:rsidRPr="003D01D1" w:rsidRDefault="006837B9" w:rsidP="003D01D1">
      <w:pPr>
        <w:jc w:val="both"/>
        <w:rPr>
          <w:b/>
        </w:rPr>
      </w:pPr>
      <w:r w:rsidRPr="003D01D1">
        <w:rPr>
          <w:b/>
        </w:rPr>
        <w:lastRenderedPageBreak/>
        <w:t>Não use medicamento com o prazo de validade vencido. Guarde-o em sua embalagem original.</w:t>
      </w:r>
    </w:p>
    <w:p w:rsidR="006837B9" w:rsidRPr="003D01D1" w:rsidRDefault="006837B9" w:rsidP="003D01D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4000A"/>
          <w:u w:val="single"/>
          <w:lang w:eastAsia="en-US"/>
        </w:rPr>
      </w:pPr>
      <w:r w:rsidRPr="003D01D1">
        <w:rPr>
          <w:rFonts w:eastAsiaTheme="minorHAnsi"/>
          <w:color w:val="04000A"/>
          <w:u w:val="single"/>
          <w:lang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3D01D1">
        <w:rPr>
          <w:rFonts w:eastAsiaTheme="minorHAnsi"/>
          <w:b/>
          <w:bCs/>
          <w:color w:val="04000A"/>
          <w:u w:val="single"/>
          <w:lang w:eastAsia="en-US"/>
        </w:rPr>
        <w:t>:</w:t>
      </w:r>
    </w:p>
    <w:p w:rsidR="006837B9" w:rsidRPr="003D01D1" w:rsidRDefault="006837B9" w:rsidP="003D01D1">
      <w:pPr>
        <w:autoSpaceDE w:val="0"/>
        <w:autoSpaceDN w:val="0"/>
        <w:adjustRightInd w:val="0"/>
        <w:jc w:val="both"/>
        <w:rPr>
          <w:rFonts w:eastAsiaTheme="minorHAnsi"/>
          <w:color w:val="04000A"/>
          <w:lang w:eastAsia="en-US"/>
        </w:rPr>
      </w:pPr>
      <w:r w:rsidRPr="003D01D1">
        <w:rPr>
          <w:rFonts w:eastAsiaTheme="minorHAnsi"/>
          <w:b/>
          <w:color w:val="04000A"/>
          <w:lang w:eastAsia="en-US"/>
        </w:rPr>
        <w:t>Após aberto, válido por _____</w:t>
      </w:r>
      <w:proofErr w:type="gramStart"/>
      <w:r w:rsidRPr="003D01D1">
        <w:rPr>
          <w:rFonts w:eastAsiaTheme="minorHAnsi"/>
          <w:color w:val="04000A"/>
          <w:lang w:eastAsia="en-US"/>
        </w:rPr>
        <w:t xml:space="preserve">  </w:t>
      </w:r>
      <w:proofErr w:type="gramEnd"/>
      <w:r w:rsidRPr="003D01D1">
        <w:rPr>
          <w:rFonts w:eastAsiaTheme="minorHAnsi"/>
          <w:color w:val="04000A"/>
          <w:u w:val="single"/>
          <w:lang w:eastAsia="en-US"/>
        </w:rPr>
        <w:t>(indicando o tempo de validade após aberto, conforme estudos de estabilidade do medicamento)</w:t>
      </w:r>
    </w:p>
    <w:p w:rsidR="006837B9" w:rsidRPr="003D01D1" w:rsidRDefault="006837B9" w:rsidP="003D01D1">
      <w:pPr>
        <w:autoSpaceDE w:val="0"/>
        <w:autoSpaceDN w:val="0"/>
        <w:adjustRightInd w:val="0"/>
        <w:jc w:val="both"/>
        <w:rPr>
          <w:rFonts w:eastAsiaTheme="minorHAnsi"/>
          <w:color w:val="04000A"/>
          <w:lang w:eastAsia="en-US"/>
        </w:rPr>
      </w:pPr>
      <w:r w:rsidRPr="003D01D1">
        <w:rPr>
          <w:rFonts w:eastAsiaTheme="minorHAnsi"/>
          <w:b/>
          <w:color w:val="04000A"/>
          <w:lang w:eastAsia="en-US"/>
        </w:rPr>
        <w:t>Após preparo, manter _____ por ____</w:t>
      </w:r>
      <w:r w:rsidRPr="003D01D1">
        <w:rPr>
          <w:rFonts w:eastAsiaTheme="minorHAnsi"/>
          <w:color w:val="04000A"/>
          <w:lang w:eastAsia="en-US"/>
        </w:rPr>
        <w:t xml:space="preserve"> </w:t>
      </w:r>
      <w:r w:rsidRPr="003D01D1">
        <w:rPr>
          <w:rFonts w:eastAsiaTheme="minorHAnsi"/>
          <w:color w:val="04000A"/>
          <w:u w:val="single"/>
          <w:lang w:eastAsia="en-US"/>
        </w:rPr>
        <w:t>(indicando o cuidado de conservação e o tempo de validade após preparo, conforme estudos de estabilidade do medicamento)</w:t>
      </w:r>
    </w:p>
    <w:p w:rsidR="006837B9" w:rsidRPr="003D01D1" w:rsidRDefault="006837B9" w:rsidP="003D01D1">
      <w:pPr>
        <w:autoSpaceDE w:val="0"/>
        <w:autoSpaceDN w:val="0"/>
        <w:adjustRightInd w:val="0"/>
        <w:jc w:val="both"/>
        <w:rPr>
          <w:b/>
          <w:color w:val="04000A"/>
          <w:u w:val="single"/>
        </w:rPr>
      </w:pPr>
      <w:r w:rsidRPr="003D01D1">
        <w:rPr>
          <w:rFonts w:eastAsiaTheme="minorHAnsi"/>
          <w:color w:val="04000A"/>
          <w:u w:val="single"/>
          <w:lang w:eastAsia="en-US"/>
        </w:rPr>
        <w:t>Descrever as características físicas e org</w:t>
      </w:r>
      <w:r w:rsidRPr="003D01D1">
        <w:rPr>
          <w:rFonts w:eastAsiaTheme="minorHAnsi"/>
          <w:color w:val="000000"/>
          <w:u w:val="single"/>
          <w:lang w:eastAsia="en-US"/>
        </w:rPr>
        <w:t>anolépticas do produto e outras características do medicamento, inclusive após a reconstituição e/ou diluição.</w:t>
      </w:r>
    </w:p>
    <w:p w:rsidR="006837B9" w:rsidRPr="003D01D1" w:rsidRDefault="006837B9" w:rsidP="003D01D1">
      <w:pPr>
        <w:jc w:val="both"/>
      </w:pPr>
      <w:r w:rsidRPr="003D01D1">
        <w:rPr>
          <w:b/>
        </w:rPr>
        <w:t>Antes de usar, observe o aspecto do medicamento. Caso ele esteja no prazo de validade e você observe alguma mudança no aspecto, consulte o farmacêutico para saber se poderá utilizá-lo.</w:t>
      </w:r>
    </w:p>
    <w:p w:rsidR="006837B9" w:rsidRPr="003D01D1" w:rsidRDefault="006837B9" w:rsidP="003D01D1">
      <w:pPr>
        <w:jc w:val="both"/>
        <w:rPr>
          <w:b/>
        </w:rPr>
      </w:pPr>
      <w:r w:rsidRPr="003D01D1">
        <w:rPr>
          <w:b/>
        </w:rPr>
        <w:t>Todo medicamento deve ser mantido fora do alcance das crianças.</w:t>
      </w: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  <w:bCs/>
        </w:rPr>
        <w:t>6. COMO DEVO USAR ESTE MEDICAMENTO?</w:t>
      </w:r>
    </w:p>
    <w:p w:rsidR="00216BA0" w:rsidRPr="003D01D1" w:rsidRDefault="00216BA0" w:rsidP="003D01D1">
      <w:pPr>
        <w:ind w:right="39"/>
        <w:jc w:val="both"/>
      </w:pPr>
      <w:r w:rsidRPr="003D01D1">
        <w:t>USO ORAL/ USO INTERNO</w:t>
      </w:r>
    </w:p>
    <w:p w:rsidR="000D06B5" w:rsidRPr="00BD3B38" w:rsidRDefault="000D06B5" w:rsidP="000D06B5">
      <w:pPr>
        <w:autoSpaceDE w:val="0"/>
        <w:autoSpaceDN w:val="0"/>
        <w:jc w:val="both"/>
        <w:rPr>
          <w:u w:val="single"/>
        </w:rPr>
      </w:pPr>
      <w:r w:rsidRPr="00D53CD1">
        <w:t xml:space="preserve">Ingerir XXX </w:t>
      </w:r>
      <w:r w:rsidRPr="00D53CD1">
        <w:rPr>
          <w:u w:val="single"/>
        </w:rPr>
        <w:t>(inserir a unidade de medida ou unidade farmacotécnica)</w:t>
      </w:r>
      <w:r w:rsidRPr="00D53CD1">
        <w:t xml:space="preserve">, de XXX em XXX horas, ou a critério médico. </w:t>
      </w:r>
      <w:r w:rsidRPr="00D53CD1">
        <w:rPr>
          <w:u w:val="single"/>
        </w:rPr>
        <w:t>(</w:t>
      </w:r>
      <w:r w:rsidRPr="000D06B5">
        <w:rPr>
          <w:u w:val="single"/>
        </w:rPr>
        <w:t xml:space="preserve">A dose diária deve estar entre 10 e 30 </w:t>
      </w:r>
      <w:proofErr w:type="gramStart"/>
      <w:r w:rsidRPr="000D06B5">
        <w:rPr>
          <w:u w:val="single"/>
        </w:rPr>
        <w:t>mg</w:t>
      </w:r>
      <w:proofErr w:type="gramEnd"/>
      <w:r w:rsidRPr="000D06B5">
        <w:rPr>
          <w:u w:val="single"/>
        </w:rPr>
        <w:t xml:space="preserve"> de derivados </w:t>
      </w:r>
      <w:proofErr w:type="spellStart"/>
      <w:r w:rsidRPr="000D06B5">
        <w:rPr>
          <w:u w:val="single"/>
        </w:rPr>
        <w:t>hidroxiantracênicos</w:t>
      </w:r>
      <w:proofErr w:type="spellEnd"/>
      <w:r w:rsidRPr="000D06B5">
        <w:rPr>
          <w:u w:val="single"/>
        </w:rPr>
        <w:t xml:space="preserve"> expressos em </w:t>
      </w:r>
      <w:proofErr w:type="spellStart"/>
      <w:r w:rsidRPr="000D06B5">
        <w:rPr>
          <w:u w:val="single"/>
        </w:rPr>
        <w:t>senosídeo</w:t>
      </w:r>
      <w:proofErr w:type="spellEnd"/>
      <w:r w:rsidRPr="000D06B5">
        <w:rPr>
          <w:u w:val="single"/>
        </w:rPr>
        <w:t xml:space="preserve"> B e a empresa deve informar o valor rotulado da dose diária de seu medicamento, dentro dessa faixa, conforme aprovado no dossiê</w:t>
      </w:r>
      <w:r w:rsidRPr="00BD3B38">
        <w:rPr>
          <w:u w:val="single"/>
        </w:rPr>
        <w:t xml:space="preserve"> de registro.)</w:t>
      </w:r>
    </w:p>
    <w:p w:rsidR="00216BA0" w:rsidRPr="003D01D1" w:rsidRDefault="00216BA0" w:rsidP="003D01D1">
      <w:pPr>
        <w:jc w:val="both"/>
      </w:pPr>
      <w:r w:rsidRPr="003D01D1">
        <w:t xml:space="preserve">A utilização de laxantes não deve ultrapassar o período de </w:t>
      </w:r>
      <w:proofErr w:type="gramStart"/>
      <w:r w:rsidRPr="003D01D1">
        <w:t>1</w:t>
      </w:r>
      <w:proofErr w:type="gramEnd"/>
      <w:r w:rsidRPr="003D01D1">
        <w:t xml:space="preserve"> semana </w:t>
      </w:r>
      <w:r w:rsidRPr="003D01D1">
        <w:rPr>
          <w:u w:val="single"/>
        </w:rPr>
        <w:t>(ESCOP, 1997; WHO, 1999; PDR, 2004; MASSON, 1998; ALONSO, 1999; BLUMENTHAL et al., 1998)</w:t>
      </w:r>
      <w:r w:rsidRPr="003D01D1">
        <w:t>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Pacientes idosos devem, inicialmente, administrar a metade da dose prescrita </w:t>
      </w:r>
      <w:r w:rsidRPr="003D01D1">
        <w:rPr>
          <w:rFonts w:ascii="Times New Roman" w:hAnsi="Times New Roman"/>
          <w:u w:val="single"/>
        </w:rPr>
        <w:t>(PHYSICIANS DESK REFERENCE, 2004)</w:t>
      </w:r>
      <w:r w:rsidRPr="003D01D1">
        <w:rPr>
          <w:rFonts w:ascii="Times New Roman" w:hAnsi="Times New Roman"/>
        </w:rPr>
        <w:t>.</w:t>
      </w:r>
    </w:p>
    <w:p w:rsidR="00216BA0" w:rsidRPr="003D01D1" w:rsidRDefault="00216BA0" w:rsidP="003D01D1">
      <w:pPr>
        <w:pStyle w:val="NormalCorpodeTexto"/>
        <w:spacing w:before="0"/>
        <w:jc w:val="both"/>
        <w:rPr>
          <w:rFonts w:ascii="Times New Roman" w:hAnsi="Times New Roman"/>
          <w:szCs w:val="24"/>
        </w:rPr>
      </w:pPr>
      <w:r w:rsidRPr="003D01D1">
        <w:rPr>
          <w:rFonts w:ascii="Times New Roman" w:hAnsi="Times New Roman"/>
          <w:szCs w:val="24"/>
        </w:rPr>
        <w:t xml:space="preserve">Para tratamento de constipação crônica ou habitual, recomenda-se recorrer a laxantes mecânicos e realizar modificações na dieta e nos hábitos </w:t>
      </w:r>
      <w:r w:rsidRPr="003D01D1">
        <w:rPr>
          <w:rFonts w:ascii="Times New Roman" w:hAnsi="Times New Roman"/>
          <w:szCs w:val="24"/>
          <w:u w:val="single"/>
        </w:rPr>
        <w:t>(MASSON, 1998)</w:t>
      </w:r>
      <w:r w:rsidRPr="003D01D1">
        <w:rPr>
          <w:rFonts w:ascii="Times New Roman" w:hAnsi="Times New Roman"/>
          <w:szCs w:val="24"/>
        </w:rPr>
        <w:t xml:space="preserve">. O uso deste medicamento por mais de </w:t>
      </w:r>
      <w:proofErr w:type="gramStart"/>
      <w:r w:rsidRPr="003D01D1">
        <w:rPr>
          <w:rFonts w:ascii="Times New Roman" w:hAnsi="Times New Roman"/>
          <w:szCs w:val="24"/>
        </w:rPr>
        <w:t>2</w:t>
      </w:r>
      <w:proofErr w:type="gramEnd"/>
      <w:r w:rsidRPr="003D01D1">
        <w:rPr>
          <w:rFonts w:ascii="Times New Roman" w:hAnsi="Times New Roman"/>
          <w:szCs w:val="24"/>
        </w:rPr>
        <w:t xml:space="preserve"> semanas requer supervisão médica. </w:t>
      </w:r>
      <w:r w:rsidRPr="003D01D1">
        <w:rPr>
          <w:rFonts w:ascii="Times New Roman" w:hAnsi="Times New Roman"/>
          <w:szCs w:val="24"/>
          <w:u w:val="single"/>
        </w:rPr>
        <w:t>(WHO, 1999; ESCOP, 1997)</w:t>
      </w:r>
    </w:p>
    <w:p w:rsidR="00216BA0" w:rsidRDefault="00216BA0" w:rsidP="003D01D1">
      <w:pPr>
        <w:pStyle w:val="NormalCorpodeTexto"/>
        <w:spacing w:before="0"/>
        <w:jc w:val="both"/>
        <w:rPr>
          <w:rFonts w:ascii="Times New Roman" w:hAnsi="Times New Roman"/>
          <w:szCs w:val="24"/>
        </w:rPr>
      </w:pPr>
      <w:r w:rsidRPr="003D01D1">
        <w:rPr>
          <w:rFonts w:ascii="Times New Roman" w:hAnsi="Times New Roman"/>
          <w:szCs w:val="24"/>
        </w:rPr>
        <w:t>Os/as (forma farmacêutica) devem ser ingeridos (as) inteiros (as) e com uma quantidade suficiente de água para que possam ser deglutidos (as). (para comprimidos, cápsulas, drágeas ou pílulas)</w:t>
      </w:r>
    </w:p>
    <w:p w:rsidR="000D06B5" w:rsidRPr="00BD3B38" w:rsidRDefault="000D06B5" w:rsidP="000D06B5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Descrever as principais orientações sobre o modo correto de preparo, manuseio e aplicação do medicamento.</w:t>
      </w:r>
    </w:p>
    <w:p w:rsidR="000D06B5" w:rsidRPr="00BD3B38" w:rsidRDefault="000D06B5" w:rsidP="000D06B5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Utilizar apenas a via oral. O uso deste medicamento por outra via, que não a oral, pode causar a perda do efeito esperado ou mesmo promover danos ao seu usuário.</w:t>
      </w:r>
    </w:p>
    <w:p w:rsidR="000D06B5" w:rsidRPr="00BD3B38" w:rsidRDefault="000D06B5" w:rsidP="000D06B5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Incluir o risco de uso por via de administração não recomendada, quando aplicável.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Descrever a posologia, incluindo as seguintes informações: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- dose para forma farmacêutica e concentração, expresso, quando aplicável, em unidades de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proofErr w:type="gramStart"/>
      <w:r w:rsidRPr="00BD3B38">
        <w:rPr>
          <w:rFonts w:eastAsiaTheme="minorHAnsi"/>
          <w:u w:val="single"/>
          <w:lang w:eastAsia="en-US"/>
        </w:rPr>
        <w:t>medida</w:t>
      </w:r>
      <w:proofErr w:type="gramEnd"/>
      <w:r w:rsidRPr="00BD3B38">
        <w:rPr>
          <w:rFonts w:eastAsiaTheme="minorHAnsi"/>
          <w:u w:val="single"/>
          <w:lang w:eastAsia="en-US"/>
        </w:rPr>
        <w:t xml:space="preserve"> ou unidade farmacotécnica correspondente em função ao tempo, definindo o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proofErr w:type="gramStart"/>
      <w:r w:rsidRPr="00BD3B38">
        <w:rPr>
          <w:rFonts w:eastAsiaTheme="minorHAnsi"/>
          <w:u w:val="single"/>
          <w:lang w:eastAsia="en-US"/>
        </w:rPr>
        <w:t>intervalo</w:t>
      </w:r>
      <w:proofErr w:type="gramEnd"/>
      <w:r w:rsidRPr="00BD3B38">
        <w:rPr>
          <w:rFonts w:eastAsiaTheme="minorHAnsi"/>
          <w:u w:val="single"/>
          <w:lang w:eastAsia="en-US"/>
        </w:rPr>
        <w:t xml:space="preserve"> de administração em unidade de tempo;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- a dose inicial e de manutenção, quando aplicável;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- duração de tratamento;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- vias de administração;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- orientações para cada indicação terapêutica nos casos de posologias distintas;</w:t>
      </w:r>
    </w:p>
    <w:p w:rsidR="000D06B5" w:rsidRPr="00BD3B38" w:rsidRDefault="000D06B5" w:rsidP="000D06B5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 xml:space="preserve">- orientações para uso adulto e/ou uso pediátrico, de acordo com o aprovado no registro; </w:t>
      </w:r>
    </w:p>
    <w:p w:rsidR="000D06B5" w:rsidRPr="00BD3B38" w:rsidRDefault="000D06B5" w:rsidP="000D06B5">
      <w:pPr>
        <w:tabs>
          <w:tab w:val="left" w:pos="9000"/>
        </w:tabs>
        <w:jc w:val="both"/>
        <w:rPr>
          <w:rFonts w:eastAsiaTheme="minorHAnsi"/>
          <w:lang w:eastAsia="en-US"/>
        </w:rPr>
      </w:pPr>
      <w:r w:rsidRPr="00BD3B38">
        <w:rPr>
          <w:rFonts w:eastAsiaTheme="minorHAnsi"/>
          <w:u w:val="single"/>
          <w:lang w:eastAsia="en-US"/>
        </w:rPr>
        <w:t>- orientações sobre o monitoramento e ajuste de dose para populações especiais.</w:t>
      </w:r>
      <w:r w:rsidRPr="00BD3B38">
        <w:rPr>
          <w:rFonts w:eastAsiaTheme="minorHAnsi"/>
          <w:lang w:eastAsia="en-US"/>
        </w:rPr>
        <w:t xml:space="preserve"> </w:t>
      </w:r>
    </w:p>
    <w:p w:rsidR="000D06B5" w:rsidRPr="00BD3B38" w:rsidRDefault="000D06B5" w:rsidP="000D06B5">
      <w:pPr>
        <w:tabs>
          <w:tab w:val="left" w:pos="9000"/>
        </w:tabs>
        <w:jc w:val="both"/>
        <w:rPr>
          <w:rFonts w:eastAsiaTheme="minorHAnsi"/>
          <w:u w:val="single"/>
          <w:lang w:eastAsia="en-US"/>
        </w:rPr>
      </w:pPr>
      <w:r w:rsidRPr="00BD3B38">
        <w:rPr>
          <w:rFonts w:eastAsiaTheme="minorHAnsi"/>
          <w:u w:val="single"/>
          <w:lang w:eastAsia="en-US"/>
        </w:rPr>
        <w:t>Para as formas farmacêuticas de liberação modificada expressar a dose liberada por unidade de tempo e tempo total de liberação do princípio ativo.</w:t>
      </w:r>
    </w:p>
    <w:p w:rsidR="000D06B5" w:rsidRDefault="000D06B5" w:rsidP="000D06B5">
      <w:pPr>
        <w:tabs>
          <w:tab w:val="left" w:pos="9000"/>
        </w:tabs>
        <w:jc w:val="both"/>
        <w:rPr>
          <w:u w:val="single"/>
        </w:rPr>
      </w:pPr>
      <w:r w:rsidRPr="00BD3B38">
        <w:rPr>
          <w:u w:val="single"/>
        </w:rPr>
        <w:t>Descrever o limite máximo diário de administração do medicamento expresso em unidades de medida ou unidade farmacotécnica correspondente.</w:t>
      </w:r>
    </w:p>
    <w:p w:rsidR="00216BA0" w:rsidRPr="003D01D1" w:rsidRDefault="00216BA0" w:rsidP="003D01D1">
      <w:pPr>
        <w:tabs>
          <w:tab w:val="left" w:pos="168"/>
        </w:tabs>
        <w:jc w:val="both"/>
        <w:rPr>
          <w:b/>
        </w:rPr>
      </w:pPr>
      <w:r w:rsidRPr="003D01D1">
        <w:rPr>
          <w:b/>
        </w:rPr>
        <w:lastRenderedPageBreak/>
        <w:t>Siga corretamente o modo de usar. Em caso de dúvidas sobre este medicamento, procure orientação do farmacêutico. Não desaparecendo os sintomas, procure orientação de seu médico ou cirurgião-dentista.</w:t>
      </w:r>
    </w:p>
    <w:p w:rsidR="00216BA0" w:rsidRPr="003D01D1" w:rsidRDefault="006837B9" w:rsidP="003D01D1">
      <w:pPr>
        <w:autoSpaceDE w:val="0"/>
        <w:autoSpaceDN w:val="0"/>
        <w:adjustRightInd w:val="0"/>
        <w:jc w:val="both"/>
      </w:pPr>
      <w:r w:rsidRPr="003D01D1">
        <w:rPr>
          <w:b/>
        </w:rPr>
        <w:t>Este medicamento não deve ser partido, aberto ou mastigado.</w:t>
      </w:r>
      <w:r w:rsidRPr="003D01D1">
        <w:t xml:space="preserve"> </w:t>
      </w:r>
      <w:r w:rsidRPr="003D01D1">
        <w:rPr>
          <w:u w:val="single"/>
        </w:rPr>
        <w:t xml:space="preserve">(para comprimidos revestidos, cápsulas e compridos de liberação modificada e outras que couber) </w:t>
      </w:r>
      <w:r w:rsidRPr="003D01D1">
        <w:rPr>
          <w:rFonts w:eastAsiaTheme="minorHAnsi"/>
          <w:u w:val="single"/>
          <w:lang w:eastAsia="en-US"/>
        </w:rPr>
        <w:t>ou</w:t>
      </w:r>
      <w:r w:rsidRPr="003D01D1">
        <w:rPr>
          <w:rFonts w:eastAsiaTheme="minorHAnsi"/>
          <w:lang w:eastAsia="en-US"/>
        </w:rPr>
        <w:t xml:space="preserve"> </w:t>
      </w:r>
      <w:r w:rsidRPr="003D01D1">
        <w:rPr>
          <w:rFonts w:eastAsiaTheme="minorHAnsi"/>
          <w:b/>
          <w:lang w:eastAsia="en-US"/>
        </w:rPr>
        <w:t>Este medicamento não deve ser cortado.</w:t>
      </w:r>
      <w:r w:rsidRPr="003D01D1">
        <w:rPr>
          <w:rFonts w:eastAsiaTheme="minorHAnsi"/>
          <w:lang w:eastAsia="en-US"/>
        </w:rPr>
        <w:t xml:space="preserve"> </w:t>
      </w:r>
      <w:r w:rsidRPr="003D01D1">
        <w:rPr>
          <w:rFonts w:eastAsiaTheme="minorHAnsi"/>
          <w:u w:val="single"/>
          <w:lang w:eastAsia="en-US"/>
        </w:rPr>
        <w:t>(para adesivos e outras que couber)</w:t>
      </w: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rPr>
          <w:b/>
          <w:bCs/>
        </w:rPr>
        <w:t>7. O QUE DEVO FAZER QUANDO EU ME ESQUECER DE USAR ESTE MEDICAMENTO?</w:t>
      </w:r>
    </w:p>
    <w:p w:rsidR="00216BA0" w:rsidRDefault="00216BA0" w:rsidP="003D01D1">
      <w:pPr>
        <w:jc w:val="both"/>
      </w:pPr>
      <w:r w:rsidRPr="003D01D1">
        <w:t>Caso haja esquecimento da ingestão de uma dose deste medicamento, retomar a posologia sem a necessidade de suplementação.</w:t>
      </w:r>
    </w:p>
    <w:p w:rsidR="00B56917" w:rsidRPr="00661F2A" w:rsidRDefault="00B56917" w:rsidP="00B56917">
      <w:pPr>
        <w:jc w:val="both"/>
        <w:rPr>
          <w:u w:val="single"/>
        </w:rPr>
      </w:pPr>
      <w:r w:rsidRPr="00661F2A">
        <w:rPr>
          <w:u w:val="single"/>
        </w:rPr>
        <w:t>Orientar sobre a atitude adequada quando houver a possibilidade de síndrome de abstinência.</w:t>
      </w:r>
    </w:p>
    <w:p w:rsidR="00216BA0" w:rsidRPr="003D01D1" w:rsidRDefault="00216BA0" w:rsidP="003D01D1">
      <w:pPr>
        <w:jc w:val="both"/>
        <w:rPr>
          <w:b/>
          <w:color w:val="000000"/>
        </w:rPr>
      </w:pPr>
      <w:r w:rsidRPr="003D01D1">
        <w:rPr>
          <w:b/>
          <w:color w:val="000000"/>
        </w:rPr>
        <w:t>Em caso de dúvidas, procure orientação do farmacêutico ou de seu médico, ou cirurgião-dentista.</w:t>
      </w:r>
    </w:p>
    <w:p w:rsidR="00216BA0" w:rsidRPr="003D01D1" w:rsidRDefault="00216BA0" w:rsidP="003D01D1">
      <w:pPr>
        <w:tabs>
          <w:tab w:val="left" w:pos="988"/>
        </w:tabs>
        <w:jc w:val="both"/>
        <w:rPr>
          <w:b/>
          <w:bCs/>
        </w:rPr>
      </w:pPr>
      <w:r w:rsidRPr="003D01D1">
        <w:rPr>
          <w:b/>
          <w:bCs/>
        </w:rPr>
        <w:t>8. QUAIS OS MALES QUE ESTE MEDICAMENTO PODE ME CAUSAR?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>O uso d</w:t>
      </w:r>
      <w:r w:rsidR="00602515">
        <w:rPr>
          <w:rFonts w:ascii="Times New Roman" w:hAnsi="Times New Roman"/>
        </w:rPr>
        <w:t>o sene</w:t>
      </w:r>
      <w:r w:rsidRPr="003D01D1">
        <w:rPr>
          <w:rFonts w:ascii="Times New Roman" w:hAnsi="Times New Roman"/>
        </w:rPr>
        <w:t xml:space="preserve"> pode ocasionar desconforto no trato gastrintestinal, com presença de espasmos e cólicas abdominais </w:t>
      </w:r>
      <w:r w:rsidRPr="003D01D1">
        <w:rPr>
          <w:rFonts w:ascii="Times New Roman" w:hAnsi="Times New Roman"/>
          <w:u w:val="single"/>
        </w:rPr>
        <w:t xml:space="preserve">(ALONSO, 1999; NEWALL, ANDERSON, PHILLIPSON, 1996; PDR, 2004; WHO, 1999; BLUMENTHAL </w:t>
      </w:r>
      <w:proofErr w:type="gramStart"/>
      <w:r w:rsidRPr="003D01D1">
        <w:rPr>
          <w:rFonts w:ascii="Times New Roman" w:hAnsi="Times New Roman"/>
          <w:u w:val="single"/>
        </w:rPr>
        <w:t>et</w:t>
      </w:r>
      <w:proofErr w:type="gramEnd"/>
      <w:r w:rsidRPr="003D01D1">
        <w:rPr>
          <w:rFonts w:ascii="Times New Roman" w:hAnsi="Times New Roman"/>
          <w:u w:val="single"/>
        </w:rPr>
        <w:t xml:space="preserve"> al., 1998; MASSON, 1998)</w:t>
      </w:r>
      <w:r w:rsidRPr="003D01D1">
        <w:rPr>
          <w:rFonts w:ascii="Times New Roman" w:hAnsi="Times New Roman"/>
        </w:rPr>
        <w:t xml:space="preserve">. Este caso requer uma diminuição da dose </w:t>
      </w:r>
      <w:r w:rsidRPr="003D01D1">
        <w:rPr>
          <w:rFonts w:ascii="Times New Roman" w:hAnsi="Times New Roman"/>
          <w:u w:val="single"/>
        </w:rPr>
        <w:t xml:space="preserve">(BLUMENTHAL </w:t>
      </w:r>
      <w:proofErr w:type="gramStart"/>
      <w:r w:rsidRPr="003D01D1">
        <w:rPr>
          <w:rFonts w:ascii="Times New Roman" w:hAnsi="Times New Roman"/>
          <w:u w:val="single"/>
        </w:rPr>
        <w:t>et</w:t>
      </w:r>
      <w:proofErr w:type="gramEnd"/>
      <w:r w:rsidRPr="003D01D1">
        <w:rPr>
          <w:rFonts w:ascii="Times New Roman" w:hAnsi="Times New Roman"/>
          <w:u w:val="single"/>
        </w:rPr>
        <w:t xml:space="preserve"> al., 1998)</w:t>
      </w:r>
      <w:r w:rsidRPr="003D01D1">
        <w:rPr>
          <w:rFonts w:ascii="Times New Roman" w:hAnsi="Times New Roman"/>
        </w:rPr>
        <w:t xml:space="preserve">. 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As antraquinonas podem alterar a cor da urina, que pode apresentar-se amarela ou marrom avermelhada, o que desaparece com a suspensão do uso do produto </w:t>
      </w:r>
      <w:r w:rsidRPr="003D01D1">
        <w:rPr>
          <w:rFonts w:ascii="Times New Roman" w:hAnsi="Times New Roman"/>
          <w:u w:val="single"/>
        </w:rPr>
        <w:t>(ALONSO, 1999; WHO, 1999)</w:t>
      </w:r>
      <w:r w:rsidRPr="003D01D1">
        <w:rPr>
          <w:rFonts w:ascii="Times New Roman" w:hAnsi="Times New Roman"/>
        </w:rPr>
        <w:t xml:space="preserve">. </w:t>
      </w:r>
    </w:p>
    <w:p w:rsidR="00216BA0" w:rsidRPr="003D01D1" w:rsidRDefault="00216BA0" w:rsidP="003D01D1">
      <w:pPr>
        <w:jc w:val="both"/>
      </w:pPr>
      <w:r w:rsidRPr="003D01D1">
        <w:t xml:space="preserve">A </w:t>
      </w:r>
      <w:proofErr w:type="spellStart"/>
      <w:r w:rsidRPr="003D01D1">
        <w:t>pseudomelanosis</w:t>
      </w:r>
      <w:proofErr w:type="spellEnd"/>
      <w:r w:rsidRPr="003D01D1">
        <w:t xml:space="preserve"> coli, uma condição que é caracterizada pelo acúmulo de macrófagos pigmentados no interior da submucosa intestinal, pode ocorrer após o uso prolongado </w:t>
      </w:r>
      <w:r w:rsidRPr="003D01D1">
        <w:rPr>
          <w:u w:val="single"/>
        </w:rPr>
        <w:t>(</w:t>
      </w:r>
      <w:r w:rsidRPr="003D01D1">
        <w:rPr>
          <w:iCs/>
          <w:u w:val="single"/>
        </w:rPr>
        <w:t xml:space="preserve">MASCOLO, 1998; </w:t>
      </w:r>
      <w:r w:rsidRPr="003D01D1">
        <w:rPr>
          <w:u w:val="single"/>
        </w:rPr>
        <w:t>PDR, 2004; ESCOP, 1997)</w:t>
      </w:r>
      <w:r w:rsidRPr="003D01D1">
        <w:rPr>
          <w:iCs/>
        </w:rPr>
        <w:t>.</w:t>
      </w:r>
      <w:r w:rsidRPr="003D01D1">
        <w:t xml:space="preserve"> Esta condição é inofensiva e também desaparece com a descontinuação do uso da droga </w:t>
      </w:r>
      <w:r w:rsidRPr="003D01D1">
        <w:rPr>
          <w:u w:val="single"/>
        </w:rPr>
        <w:t xml:space="preserve">(ALONSO, 1999; WHO, 1999; ESCOP, 1997; BLUMENTHAL </w:t>
      </w:r>
      <w:proofErr w:type="gramStart"/>
      <w:r w:rsidRPr="003D01D1">
        <w:rPr>
          <w:u w:val="single"/>
        </w:rPr>
        <w:t>et</w:t>
      </w:r>
      <w:proofErr w:type="gramEnd"/>
      <w:r w:rsidRPr="003D01D1">
        <w:rPr>
          <w:u w:val="single"/>
        </w:rPr>
        <w:t xml:space="preserve"> al., 1998)</w:t>
      </w:r>
      <w:r w:rsidRPr="003D01D1">
        <w:t>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O uso crônico ou </w:t>
      </w:r>
      <w:proofErr w:type="spellStart"/>
      <w:r w:rsidRPr="003D01D1">
        <w:rPr>
          <w:rFonts w:ascii="Times New Roman" w:hAnsi="Times New Roman"/>
        </w:rPr>
        <w:t>superdosagem</w:t>
      </w:r>
      <w:proofErr w:type="spellEnd"/>
      <w:r w:rsidRPr="003D01D1">
        <w:rPr>
          <w:rFonts w:ascii="Times New Roman" w:hAnsi="Times New Roman"/>
        </w:rPr>
        <w:t xml:space="preserve"> pode resultar em diarreia, com distúrbios eletrolíticos, principalmente </w:t>
      </w:r>
      <w:proofErr w:type="spellStart"/>
      <w:r w:rsidRPr="003D01D1">
        <w:rPr>
          <w:rFonts w:ascii="Times New Roman" w:hAnsi="Times New Roman"/>
        </w:rPr>
        <w:t>hipocalemia</w:t>
      </w:r>
      <w:proofErr w:type="spellEnd"/>
      <w:r w:rsidRPr="003D01D1">
        <w:rPr>
          <w:rFonts w:ascii="Times New Roman" w:hAnsi="Times New Roman"/>
        </w:rPr>
        <w:t xml:space="preserve">, acidose ou alcalose metabólica, </w:t>
      </w:r>
      <w:proofErr w:type="spellStart"/>
      <w:r w:rsidRPr="003D01D1">
        <w:rPr>
          <w:rFonts w:ascii="Times New Roman" w:hAnsi="Times New Roman"/>
        </w:rPr>
        <w:t>albuminúria</w:t>
      </w:r>
      <w:proofErr w:type="spellEnd"/>
      <w:r w:rsidRPr="003D01D1">
        <w:rPr>
          <w:rFonts w:ascii="Times New Roman" w:hAnsi="Times New Roman"/>
        </w:rPr>
        <w:t xml:space="preserve"> e hematúria. A deficiência de potássio pode conduzir a disfunção cardíaca e neuromuscular </w:t>
      </w:r>
      <w:r w:rsidRPr="003D01D1">
        <w:rPr>
          <w:rFonts w:ascii="Times New Roman" w:hAnsi="Times New Roman"/>
          <w:u w:val="single"/>
        </w:rPr>
        <w:t xml:space="preserve">(PDR, 2004; WHO, 1999; BLUMENTHAL </w:t>
      </w:r>
      <w:proofErr w:type="gramStart"/>
      <w:r w:rsidRPr="003D01D1">
        <w:rPr>
          <w:rFonts w:ascii="Times New Roman" w:hAnsi="Times New Roman"/>
          <w:u w:val="single"/>
        </w:rPr>
        <w:t>et</w:t>
      </w:r>
      <w:proofErr w:type="gramEnd"/>
      <w:r w:rsidRPr="003D01D1">
        <w:rPr>
          <w:rFonts w:ascii="Times New Roman" w:hAnsi="Times New Roman"/>
          <w:u w:val="single"/>
        </w:rPr>
        <w:t xml:space="preserve"> al., 1998; ESCOP, 1997)</w:t>
      </w:r>
      <w:r w:rsidRPr="003D01D1">
        <w:rPr>
          <w:rFonts w:ascii="Times New Roman" w:hAnsi="Times New Roman"/>
        </w:rPr>
        <w:t xml:space="preserve">, lentidão, inibição da motilidade intestinal e má absorção </w:t>
      </w:r>
      <w:r w:rsidRPr="003D01D1">
        <w:rPr>
          <w:rFonts w:ascii="Times New Roman" w:hAnsi="Times New Roman"/>
          <w:u w:val="single"/>
        </w:rPr>
        <w:t>(PDR, 2004; ESCOP, 1997)</w:t>
      </w:r>
      <w:r w:rsidRPr="003D01D1">
        <w:rPr>
          <w:rFonts w:ascii="Times New Roman" w:hAnsi="Times New Roman"/>
        </w:rPr>
        <w:t xml:space="preserve">, além de dependência, com possível necessidade de aumento da dose </w:t>
      </w:r>
      <w:r w:rsidRPr="003D01D1">
        <w:rPr>
          <w:rFonts w:ascii="Times New Roman" w:hAnsi="Times New Roman"/>
          <w:u w:val="single"/>
        </w:rPr>
        <w:t>(WHO, 1999; ESCOP, 1997)</w:t>
      </w:r>
      <w:r w:rsidRPr="003D01D1">
        <w:rPr>
          <w:rFonts w:ascii="Times New Roman" w:hAnsi="Times New Roman"/>
        </w:rPr>
        <w:t xml:space="preserve">, podendo resultar no agravamento da constipação </w:t>
      </w:r>
      <w:r w:rsidRPr="003D01D1">
        <w:rPr>
          <w:rFonts w:ascii="Times New Roman" w:hAnsi="Times New Roman"/>
          <w:u w:val="single"/>
        </w:rPr>
        <w:t>(ESCOP, 1997; ALONSO, 1999)</w:t>
      </w:r>
      <w:r w:rsidRPr="003D01D1">
        <w:rPr>
          <w:rFonts w:ascii="Times New Roman" w:hAnsi="Times New Roman"/>
        </w:rPr>
        <w:t xml:space="preserve">. 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O uso prolongado também está associado à redução na concentração de globulinas séricas </w:t>
      </w:r>
      <w:r w:rsidRPr="003D01D1">
        <w:rPr>
          <w:rFonts w:ascii="Times New Roman" w:hAnsi="Times New Roman"/>
          <w:u w:val="single"/>
        </w:rPr>
        <w:t>(PDR, 2004; ALONSO, 1999; NEWALL, ANDERSON, PHILLIPSON, 1996)</w:t>
      </w:r>
      <w:r w:rsidRPr="003D01D1">
        <w:rPr>
          <w:rFonts w:ascii="Times New Roman" w:hAnsi="Times New Roman"/>
        </w:rPr>
        <w:t xml:space="preserve">, perda de peso </w:t>
      </w:r>
      <w:r w:rsidRPr="003D01D1">
        <w:rPr>
          <w:rFonts w:ascii="Times New Roman" w:hAnsi="Times New Roman"/>
          <w:u w:val="single"/>
        </w:rPr>
        <w:t>(PDR, 2004; WHO, 1999; ESCOP, 1997)</w:t>
      </w:r>
      <w:r w:rsidRPr="003D01D1">
        <w:rPr>
          <w:rFonts w:ascii="Times New Roman" w:hAnsi="Times New Roman"/>
        </w:rPr>
        <w:t xml:space="preserve"> e desenvolvimento de caquexia </w:t>
      </w:r>
      <w:r w:rsidRPr="003D01D1">
        <w:rPr>
          <w:rFonts w:ascii="Times New Roman" w:hAnsi="Times New Roman"/>
          <w:u w:val="single"/>
        </w:rPr>
        <w:t>(NEWALL, ANDERSON, PHILLIPSON, 1996)</w:t>
      </w:r>
      <w:r w:rsidRPr="003D01D1">
        <w:rPr>
          <w:rFonts w:ascii="Times New Roman" w:hAnsi="Times New Roman"/>
        </w:rPr>
        <w:t>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Em pacientes idosos, o uso contínuo de laxantes pode ocasionar exacerbação da fraqueza e hipotensão ortostática </w:t>
      </w:r>
      <w:r w:rsidRPr="003D01D1">
        <w:rPr>
          <w:rFonts w:ascii="Times New Roman" w:hAnsi="Times New Roman"/>
          <w:u w:val="single"/>
        </w:rPr>
        <w:t>(WHO, 1999)</w:t>
      </w:r>
      <w:r w:rsidRPr="003D01D1">
        <w:rPr>
          <w:rFonts w:ascii="Times New Roman" w:hAnsi="Times New Roman"/>
        </w:rPr>
        <w:t>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O uso </w:t>
      </w:r>
      <w:proofErr w:type="gramStart"/>
      <w:r w:rsidRPr="003D01D1">
        <w:rPr>
          <w:rFonts w:ascii="Times New Roman" w:hAnsi="Times New Roman"/>
        </w:rPr>
        <w:t>a longo prazo</w:t>
      </w:r>
      <w:proofErr w:type="gramEnd"/>
      <w:r w:rsidRPr="003D01D1">
        <w:rPr>
          <w:rFonts w:ascii="Times New Roman" w:hAnsi="Times New Roman"/>
        </w:rPr>
        <w:t xml:space="preserve"> pode resultar ainda em </w:t>
      </w:r>
      <w:proofErr w:type="spellStart"/>
      <w:r w:rsidRPr="003D01D1">
        <w:rPr>
          <w:rFonts w:ascii="Times New Roman" w:hAnsi="Times New Roman"/>
        </w:rPr>
        <w:t>tetania</w:t>
      </w:r>
      <w:proofErr w:type="spellEnd"/>
      <w:r w:rsidRPr="003D01D1">
        <w:rPr>
          <w:rFonts w:ascii="Times New Roman" w:hAnsi="Times New Roman"/>
        </w:rPr>
        <w:t xml:space="preserve">, </w:t>
      </w:r>
      <w:proofErr w:type="spellStart"/>
      <w:r w:rsidRPr="003D01D1">
        <w:rPr>
          <w:rFonts w:ascii="Times New Roman" w:hAnsi="Times New Roman"/>
        </w:rPr>
        <w:t>hiperaldosterismo</w:t>
      </w:r>
      <w:proofErr w:type="spellEnd"/>
      <w:r w:rsidRPr="003D01D1">
        <w:rPr>
          <w:rFonts w:ascii="Times New Roman" w:hAnsi="Times New Roman"/>
        </w:rPr>
        <w:t xml:space="preserve">, excreção de </w:t>
      </w:r>
      <w:proofErr w:type="spellStart"/>
      <w:r w:rsidRPr="003D01D1">
        <w:rPr>
          <w:rFonts w:ascii="Times New Roman" w:hAnsi="Times New Roman"/>
        </w:rPr>
        <w:t>aspartilglicosamina</w:t>
      </w:r>
      <w:proofErr w:type="spellEnd"/>
      <w:r w:rsidRPr="003D01D1">
        <w:rPr>
          <w:rFonts w:ascii="Times New Roman" w:hAnsi="Times New Roman"/>
        </w:rPr>
        <w:t xml:space="preserve"> </w:t>
      </w:r>
      <w:r w:rsidRPr="003D01D1">
        <w:rPr>
          <w:rFonts w:ascii="Times New Roman" w:hAnsi="Times New Roman"/>
          <w:u w:val="single"/>
        </w:rPr>
        <w:t>(PDR, 2004)</w:t>
      </w:r>
      <w:r w:rsidRPr="003D01D1">
        <w:rPr>
          <w:rFonts w:ascii="Times New Roman" w:hAnsi="Times New Roman"/>
        </w:rPr>
        <w:t xml:space="preserve"> e nefrite </w:t>
      </w:r>
      <w:r w:rsidRPr="003D01D1">
        <w:rPr>
          <w:rFonts w:ascii="Times New Roman" w:hAnsi="Times New Roman"/>
          <w:u w:val="single"/>
        </w:rPr>
        <w:t>(ALONSO, 1997)</w:t>
      </w:r>
      <w:r w:rsidRPr="003D01D1">
        <w:rPr>
          <w:rFonts w:ascii="Times New Roman" w:hAnsi="Times New Roman"/>
        </w:rPr>
        <w:t xml:space="preserve">. Além disso, podem ocorrer alterações anatômicas do cólon </w:t>
      </w:r>
      <w:r w:rsidRPr="003D01D1">
        <w:rPr>
          <w:rFonts w:ascii="Times New Roman" w:hAnsi="Times New Roman"/>
          <w:u w:val="single"/>
        </w:rPr>
        <w:t>(PDR, 2004; MASSON, 1998)</w:t>
      </w:r>
      <w:r w:rsidRPr="003D01D1">
        <w:rPr>
          <w:rFonts w:ascii="Times New Roman" w:hAnsi="Times New Roman"/>
        </w:rPr>
        <w:t xml:space="preserve"> e danos aos nervos do tecido entérico </w:t>
      </w:r>
      <w:r w:rsidRPr="003D01D1">
        <w:rPr>
          <w:rFonts w:ascii="Times New Roman" w:hAnsi="Times New Roman"/>
          <w:u w:val="single"/>
        </w:rPr>
        <w:t>(ALONSO, 1999; BRITISH HERBAL COMPENDIUM, 1996)</w:t>
      </w:r>
      <w:r w:rsidRPr="003D01D1">
        <w:rPr>
          <w:rFonts w:ascii="Times New Roman" w:hAnsi="Times New Roman"/>
        </w:rPr>
        <w:t xml:space="preserve">. </w:t>
      </w:r>
    </w:p>
    <w:p w:rsidR="00216BA0" w:rsidRPr="003D01D1" w:rsidRDefault="00216BA0" w:rsidP="003D01D1">
      <w:pPr>
        <w:jc w:val="both"/>
      </w:pPr>
      <w:r w:rsidRPr="003D01D1">
        <w:t xml:space="preserve">O uso prolongado e </w:t>
      </w:r>
      <w:r w:rsidRPr="00602515">
        <w:t>abusivo d</w:t>
      </w:r>
      <w:r w:rsidR="00602515">
        <w:t>o</w:t>
      </w:r>
      <w:r w:rsidRPr="00602515">
        <w:t xml:space="preserve"> </w:t>
      </w:r>
      <w:r w:rsidR="00602515" w:rsidRPr="00602515">
        <w:t>sene</w:t>
      </w:r>
      <w:r w:rsidRPr="00602515">
        <w:t xml:space="preserve"> tem</w:t>
      </w:r>
      <w:r w:rsidRPr="003D01D1">
        <w:t xml:space="preserve"> sido associado com deformidade dos dedos </w:t>
      </w:r>
      <w:r w:rsidRPr="003D01D1">
        <w:rPr>
          <w:u w:val="single"/>
        </w:rPr>
        <w:t>(NEWALL, ANDERSON, PHILLIPSON, 1996)</w:t>
      </w:r>
      <w:r w:rsidRPr="003D01D1">
        <w:t xml:space="preserve">, que foi reversível após a descontinuação do uso droga </w:t>
      </w:r>
      <w:r w:rsidRPr="003D01D1">
        <w:rPr>
          <w:u w:val="single"/>
        </w:rPr>
        <w:t>(PDR, 2004)</w:t>
      </w:r>
      <w:r w:rsidRPr="003D01D1">
        <w:t xml:space="preserve">. </w:t>
      </w:r>
    </w:p>
    <w:p w:rsidR="00216BA0" w:rsidRPr="003D01D1" w:rsidRDefault="00216BA0" w:rsidP="003D01D1">
      <w:pPr>
        <w:jc w:val="both"/>
      </w:pPr>
      <w:r w:rsidRPr="003D01D1">
        <w:t xml:space="preserve">Em casos raros, pode levar a </w:t>
      </w:r>
      <w:proofErr w:type="spellStart"/>
      <w:r w:rsidRPr="003D01D1">
        <w:t>nefropatias</w:t>
      </w:r>
      <w:proofErr w:type="spellEnd"/>
      <w:r w:rsidRPr="003D01D1">
        <w:t xml:space="preserve">, edema e deterioração acelerada dos ossos </w:t>
      </w:r>
      <w:r w:rsidRPr="003D01D1">
        <w:rPr>
          <w:u w:val="single"/>
        </w:rPr>
        <w:t>(PDR, 2004)</w:t>
      </w:r>
      <w:r w:rsidRPr="003D01D1">
        <w:t xml:space="preserve">. </w:t>
      </w:r>
    </w:p>
    <w:p w:rsidR="00216BA0" w:rsidRPr="003D01D1" w:rsidRDefault="00216BA0" w:rsidP="003D01D1">
      <w:pPr>
        <w:jc w:val="both"/>
        <w:rPr>
          <w:iCs/>
        </w:rPr>
      </w:pPr>
      <w:r w:rsidRPr="003D01D1">
        <w:rPr>
          <w:iCs/>
        </w:rPr>
        <w:t xml:space="preserve">Um caso de hepatite foi relatado após o abuso crônico deste fitoterápico. </w:t>
      </w:r>
      <w:r w:rsidRPr="003D01D1">
        <w:rPr>
          <w:iCs/>
          <w:u w:val="single"/>
        </w:rPr>
        <w:t>(</w:t>
      </w:r>
      <w:r w:rsidRPr="003D01D1">
        <w:rPr>
          <w:u w:val="single"/>
        </w:rPr>
        <w:t>WHO, 1999</w:t>
      </w:r>
      <w:r w:rsidRPr="003D01D1">
        <w:rPr>
          <w:iCs/>
          <w:u w:val="single"/>
        </w:rPr>
        <w:t>)</w:t>
      </w:r>
    </w:p>
    <w:p w:rsidR="00216BA0" w:rsidRPr="003D01D1" w:rsidRDefault="00216BA0" w:rsidP="003D01D1">
      <w:pPr>
        <w:jc w:val="both"/>
        <w:rPr>
          <w:b/>
        </w:rPr>
      </w:pPr>
      <w:r w:rsidRPr="003D01D1">
        <w:rPr>
          <w:b/>
        </w:rPr>
        <w:t>Informe ao seu médico, cirurgião-dentista ou farmacêutico o aparecimento de reações indesejáveis pelo uso do medicamento. Informe também à empresa através do seu serviço de atendimento.</w:t>
      </w:r>
    </w:p>
    <w:p w:rsidR="00216BA0" w:rsidRPr="003D01D1" w:rsidRDefault="00216BA0" w:rsidP="003D01D1">
      <w:pPr>
        <w:jc w:val="both"/>
        <w:rPr>
          <w:b/>
          <w:bCs/>
        </w:rPr>
      </w:pPr>
      <w:r w:rsidRPr="003D01D1">
        <w:t xml:space="preserve"> </w:t>
      </w:r>
      <w:r w:rsidRPr="003D01D1">
        <w:rPr>
          <w:b/>
          <w:bCs/>
        </w:rPr>
        <w:t>9. O QUE FAZER SE ALGUÉM USAR UMA QUANTIDADE MAIOR DO QUE A INDICADA DESTE MEDICAMENTO?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lastRenderedPageBreak/>
        <w:t xml:space="preserve">Os principais sintomas da </w:t>
      </w:r>
      <w:proofErr w:type="spellStart"/>
      <w:r w:rsidRPr="003D01D1">
        <w:rPr>
          <w:rFonts w:ascii="Times New Roman" w:hAnsi="Times New Roman"/>
        </w:rPr>
        <w:t>superdosagem</w:t>
      </w:r>
      <w:proofErr w:type="spellEnd"/>
      <w:r w:rsidRPr="003D01D1">
        <w:rPr>
          <w:rFonts w:ascii="Times New Roman" w:hAnsi="Times New Roman"/>
        </w:rPr>
        <w:t xml:space="preserve"> são dores abdominais </w:t>
      </w:r>
      <w:r w:rsidRPr="00FA20C5">
        <w:rPr>
          <w:rFonts w:ascii="Times New Roman" w:hAnsi="Times New Roman"/>
          <w:u w:val="single"/>
        </w:rPr>
        <w:t xml:space="preserve">(ESCOP, 1997; BLUMENTHAL </w:t>
      </w:r>
      <w:proofErr w:type="gramStart"/>
      <w:r w:rsidRPr="00FA20C5">
        <w:rPr>
          <w:rFonts w:ascii="Times New Roman" w:hAnsi="Times New Roman"/>
          <w:u w:val="single"/>
        </w:rPr>
        <w:t>et</w:t>
      </w:r>
      <w:proofErr w:type="gramEnd"/>
      <w:r w:rsidRPr="00FA20C5">
        <w:rPr>
          <w:rFonts w:ascii="Times New Roman" w:hAnsi="Times New Roman"/>
          <w:u w:val="single"/>
        </w:rPr>
        <w:t xml:space="preserve"> al., 1998)</w:t>
      </w:r>
      <w:r w:rsidRPr="003D01D1">
        <w:rPr>
          <w:rFonts w:ascii="Times New Roman" w:hAnsi="Times New Roman"/>
        </w:rPr>
        <w:t xml:space="preserve">, espasmos, náusea, cólicas e diarreias severas, com consequente perda excessiva de fluidos e eletrólitos </w:t>
      </w:r>
      <w:r w:rsidRPr="00FA20C5">
        <w:rPr>
          <w:rFonts w:ascii="Times New Roman" w:hAnsi="Times New Roman"/>
          <w:u w:val="single"/>
        </w:rPr>
        <w:t>(ESCOP, 1997)</w:t>
      </w:r>
      <w:r w:rsidRPr="003D01D1">
        <w:rPr>
          <w:rFonts w:ascii="Times New Roman" w:hAnsi="Times New Roman"/>
        </w:rPr>
        <w:t xml:space="preserve">. </w:t>
      </w:r>
    </w:p>
    <w:p w:rsidR="00216BA0" w:rsidRPr="003D01D1" w:rsidRDefault="00216BA0" w:rsidP="003D01D1">
      <w:pPr>
        <w:ind w:right="39"/>
        <w:jc w:val="both"/>
      </w:pPr>
      <w:r w:rsidRPr="003D01D1">
        <w:t xml:space="preserve">Em caso de </w:t>
      </w:r>
      <w:proofErr w:type="spellStart"/>
      <w:r w:rsidRPr="003D01D1">
        <w:t>superdosagem</w:t>
      </w:r>
      <w:proofErr w:type="spellEnd"/>
      <w:r w:rsidRPr="003D01D1">
        <w:t>, suspender a medicação imediatamente. Recomenda-se tratamento de suporte sintomático pelas medidas habituais de apoio e controle das funções vitais.</w:t>
      </w:r>
    </w:p>
    <w:p w:rsidR="00216BA0" w:rsidRPr="003D01D1" w:rsidRDefault="00216BA0" w:rsidP="003D01D1">
      <w:pPr>
        <w:pStyle w:val="Pa0"/>
        <w:spacing w:line="240" w:lineRule="auto"/>
        <w:jc w:val="both"/>
        <w:rPr>
          <w:rFonts w:ascii="Times New Roman" w:hAnsi="Times New Roman"/>
        </w:rPr>
      </w:pPr>
      <w:r w:rsidRPr="003D01D1">
        <w:rPr>
          <w:rFonts w:ascii="Times New Roman" w:hAnsi="Times New Roman"/>
        </w:rPr>
        <w:t xml:space="preserve">Deve-se manter tratamento de suporte, com a ingestão de grandes quantidades de líquidos. Os eletrólitos, especialmente o potássio, devem ser monitorados, particularmente em idosos e jovens </w:t>
      </w:r>
      <w:r w:rsidRPr="00FA20C5">
        <w:rPr>
          <w:rFonts w:ascii="Times New Roman" w:hAnsi="Times New Roman"/>
          <w:u w:val="single"/>
        </w:rPr>
        <w:t xml:space="preserve">(BLUMENTHAL </w:t>
      </w:r>
      <w:proofErr w:type="gramStart"/>
      <w:r w:rsidRPr="00FA20C5">
        <w:rPr>
          <w:rFonts w:ascii="Times New Roman" w:hAnsi="Times New Roman"/>
          <w:u w:val="single"/>
        </w:rPr>
        <w:t>et</w:t>
      </w:r>
      <w:proofErr w:type="gramEnd"/>
      <w:r w:rsidRPr="00FA20C5">
        <w:rPr>
          <w:rFonts w:ascii="Times New Roman" w:hAnsi="Times New Roman"/>
          <w:u w:val="single"/>
        </w:rPr>
        <w:t xml:space="preserve"> al., 1998; ESCOP, 1997)</w:t>
      </w:r>
      <w:r w:rsidRPr="003D01D1">
        <w:rPr>
          <w:rFonts w:ascii="Times New Roman" w:hAnsi="Times New Roman"/>
        </w:rPr>
        <w:t xml:space="preserve">. </w:t>
      </w:r>
    </w:p>
    <w:p w:rsidR="00216BA0" w:rsidRPr="003D01D1" w:rsidRDefault="00216BA0" w:rsidP="003D01D1">
      <w:pPr>
        <w:jc w:val="both"/>
        <w:rPr>
          <w:b/>
        </w:rPr>
      </w:pPr>
      <w:r w:rsidRPr="003D01D1">
        <w:rPr>
          <w:b/>
        </w:rPr>
        <w:t>Em caso de uso de grande quantidade deste medicamento, procure rapidamente socorro médico e leve a embalagem ou bula do medicamento, se possível. Ligue para 0800 722 6001, se você precisar de mais orientações sobre como proceder.</w:t>
      </w:r>
    </w:p>
    <w:p w:rsidR="00263BC3" w:rsidRPr="003D01D1" w:rsidRDefault="00263BC3" w:rsidP="003D01D1">
      <w:pPr>
        <w:jc w:val="both"/>
        <w:rPr>
          <w:b/>
        </w:rPr>
      </w:pPr>
    </w:p>
    <w:p w:rsidR="00216BA0" w:rsidRPr="003D01D1" w:rsidRDefault="00216BA0" w:rsidP="003D01D1">
      <w:pPr>
        <w:jc w:val="both"/>
        <w:rPr>
          <w:b/>
        </w:rPr>
      </w:pPr>
      <w:r w:rsidRPr="003D01D1">
        <w:rPr>
          <w:b/>
        </w:rPr>
        <w:t>DIZERES LEGAIS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Pr="003D01D1">
        <w:rPr>
          <w:u w:val="single"/>
        </w:rPr>
        <w:t>9</w:t>
      </w:r>
      <w:proofErr w:type="gramEnd"/>
      <w:r w:rsidRPr="003D01D1">
        <w:rPr>
          <w:u w:val="single"/>
        </w:rPr>
        <w:t xml:space="preserve"> (nove) dígitos iniciais.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>Informar o nome, número de inscrição e sigla do Conselho Regional de Farmácia do responsável técnico da empresa titular do registro.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>Informar o nome e endereço da empresa titular do registro no Brasil. </w:t>
      </w:r>
      <w:r w:rsidRPr="003D01D1">
        <w:rPr>
          <w:u w:val="single"/>
        </w:rPr>
        <w:cr/>
        <w:t>Informar o número do Cadastro Nacional de Pessoa Jurídica (CNPJ) do titular do registro.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>Inserir a expressão “Indústria Brasileira”, quando aplicável.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 xml:space="preserve">Informar o telefone do Serviço de Atendimento ao Consumidor (SAC), de responsabilidade </w:t>
      </w:r>
      <w:proofErr w:type="gramStart"/>
      <w:r w:rsidRPr="003D01D1">
        <w:rPr>
          <w:u w:val="single"/>
        </w:rPr>
        <w:t>da empresa titular</w:t>
      </w:r>
      <w:proofErr w:type="gramEnd"/>
      <w:r w:rsidRPr="003D01D1">
        <w:rPr>
          <w:u w:val="single"/>
        </w:rPr>
        <w:t xml:space="preserve"> do registro.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3D01D1">
        <w:rPr>
          <w:u w:val="single"/>
        </w:rPr>
        <w:t>frase “Fabricado</w:t>
      </w:r>
      <w:proofErr w:type="gramEnd"/>
      <w:r w:rsidRPr="003D01D1">
        <w:rPr>
          <w:u w:val="single"/>
        </w:rPr>
        <w:t xml:space="preserve"> por:” e inserindo a frase “Registrado por:” antes dos dados da detentora do registro.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 xml:space="preserve">Informar o nome e endereço da empresa fabricante, quando o medicamento for importado, citando a cidade e o país precedidos pela </w:t>
      </w:r>
      <w:proofErr w:type="gramStart"/>
      <w:r w:rsidRPr="003D01D1">
        <w:rPr>
          <w:u w:val="single"/>
        </w:rPr>
        <w:t>frase “Fabricado</w:t>
      </w:r>
      <w:proofErr w:type="gramEnd"/>
      <w:r w:rsidRPr="003D01D1">
        <w:rPr>
          <w:u w:val="single"/>
        </w:rPr>
        <w:t xml:space="preserve"> por” e inserindo a frase “Importado por:” antes dos dados da empresa titular do registro.</w:t>
      </w:r>
    </w:p>
    <w:p w:rsidR="004826F8" w:rsidRPr="003D01D1" w:rsidRDefault="004826F8" w:rsidP="003D01D1">
      <w:pPr>
        <w:jc w:val="both"/>
        <w:rPr>
          <w:u w:val="single"/>
        </w:rPr>
      </w:pPr>
      <w:r w:rsidRPr="003D01D1">
        <w:rPr>
          <w:u w:val="single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3D01D1">
        <w:rPr>
          <w:u w:val="single"/>
        </w:rPr>
        <w:t>frase “Embalado</w:t>
      </w:r>
      <w:proofErr w:type="gramEnd"/>
      <w:r w:rsidRPr="003D01D1">
        <w:rPr>
          <w:u w:val="single"/>
        </w:rPr>
        <w:t xml:space="preserve"> por:” e inserindo a frase “Registrado por:” ou “Importado por:”, conforme o caso, antes dos dados da empresa titular do registro;</w:t>
      </w:r>
    </w:p>
    <w:p w:rsidR="004826F8" w:rsidRPr="003D01D1" w:rsidRDefault="004826F8" w:rsidP="003D01D1">
      <w:pPr>
        <w:jc w:val="both"/>
        <w:rPr>
          <w:u w:val="single"/>
        </w:rPr>
      </w:pPr>
      <w:proofErr w:type="gramStart"/>
      <w:r w:rsidRPr="003D01D1">
        <w:rPr>
          <w:u w:val="single"/>
        </w:rPr>
        <w:t>Informar,</w:t>
      </w:r>
      <w:proofErr w:type="gramEnd"/>
      <w:r w:rsidRPr="003D01D1">
        <w:rPr>
          <w:u w:val="single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4826F8" w:rsidRPr="003D01D1" w:rsidRDefault="004826F8" w:rsidP="003D01D1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D01D1">
        <w:rPr>
          <w:rFonts w:eastAsiaTheme="minorHAnsi"/>
          <w:u w:val="single"/>
          <w:lang w:eastAsia="en-US"/>
        </w:rPr>
        <w:t xml:space="preserve">É facultativo incluir a logomarca </w:t>
      </w:r>
      <w:proofErr w:type="gramStart"/>
      <w:r w:rsidRPr="003D01D1">
        <w:rPr>
          <w:rFonts w:eastAsiaTheme="minorHAnsi"/>
          <w:u w:val="single"/>
          <w:lang w:eastAsia="en-US"/>
        </w:rPr>
        <w:t>da empresa farmacêutica titular</w:t>
      </w:r>
      <w:proofErr w:type="gramEnd"/>
      <w:r w:rsidRPr="003D01D1">
        <w:rPr>
          <w:rFonts w:eastAsiaTheme="minorHAnsi"/>
          <w:u w:val="single"/>
          <w:lang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4826F8" w:rsidRPr="003D01D1" w:rsidRDefault="004826F8" w:rsidP="003D01D1">
      <w:pPr>
        <w:autoSpaceDE w:val="0"/>
        <w:autoSpaceDN w:val="0"/>
        <w:adjustRightInd w:val="0"/>
        <w:jc w:val="both"/>
        <w:rPr>
          <w:u w:val="single"/>
        </w:rPr>
      </w:pPr>
      <w:r w:rsidRPr="003D01D1">
        <w:rPr>
          <w:rFonts w:eastAsiaTheme="minorHAnsi"/>
          <w:u w:val="single"/>
          <w:lang w:eastAsia="en-US"/>
        </w:rPr>
        <w:t>Incluir as seguintes frases, quando for o caso:</w:t>
      </w:r>
    </w:p>
    <w:p w:rsidR="004826F8" w:rsidRPr="003D01D1" w:rsidRDefault="004826F8" w:rsidP="003D01D1">
      <w:pPr>
        <w:jc w:val="both"/>
        <w:rPr>
          <w:rFonts w:eastAsiaTheme="minorHAnsi"/>
          <w:lang w:eastAsia="en-US"/>
        </w:rPr>
      </w:pPr>
      <w:r w:rsidRPr="003D01D1">
        <w:t xml:space="preserve">Siga corretamente o modo de usar, não desaparecendo os sintomas procure orientação médica. </w:t>
      </w:r>
      <w:r w:rsidRPr="003D01D1">
        <w:rPr>
          <w:rFonts w:eastAsiaTheme="minorHAnsi"/>
          <w:u w:val="single"/>
          <w:lang w:eastAsia="en-US"/>
        </w:rPr>
        <w:t>(para os medicamentos vendidos sem exigência de prescrição médica);</w:t>
      </w:r>
    </w:p>
    <w:p w:rsidR="004826F8" w:rsidRPr="003D01D1" w:rsidRDefault="004826F8" w:rsidP="003D01D1">
      <w:pPr>
        <w:jc w:val="both"/>
      </w:pPr>
      <w:bookmarkStart w:id="0" w:name="_GoBack"/>
      <w:bookmarkEnd w:id="0"/>
      <w:r w:rsidRPr="003D01D1">
        <w:rPr>
          <w:rFonts w:eastAsiaTheme="minorHAnsi"/>
          <w:lang w:eastAsia="en-US"/>
        </w:rPr>
        <w:t xml:space="preserve">Venda proibida ao comércio. </w:t>
      </w:r>
      <w:r w:rsidRPr="003D01D1">
        <w:rPr>
          <w:rFonts w:eastAsiaTheme="minorHAnsi"/>
          <w:u w:val="single"/>
          <w:lang w:eastAsia="en-US"/>
        </w:rPr>
        <w:t>(para os medicamentos com destinação institucional).</w:t>
      </w:r>
    </w:p>
    <w:p w:rsidR="004826F8" w:rsidRPr="003D01D1" w:rsidRDefault="004826F8" w:rsidP="003D01D1">
      <w:pPr>
        <w:tabs>
          <w:tab w:val="left" w:pos="2700"/>
        </w:tabs>
        <w:jc w:val="both"/>
      </w:pPr>
      <w:r w:rsidRPr="003D01D1">
        <w:rPr>
          <w:b/>
        </w:rPr>
        <w:t xml:space="preserve">Esta bula foi atualizada conforme Bula Padrão aprovada pela </w:t>
      </w:r>
      <w:proofErr w:type="gramStart"/>
      <w:r w:rsidRPr="003D01D1">
        <w:rPr>
          <w:b/>
        </w:rPr>
        <w:t>Anvisa</w:t>
      </w:r>
      <w:proofErr w:type="gramEnd"/>
      <w:r w:rsidRPr="003D01D1">
        <w:rPr>
          <w:b/>
        </w:rPr>
        <w:t xml:space="preserve"> em (dia/mês/ano) </w:t>
      </w:r>
      <w:r w:rsidRPr="003D01D1">
        <w:rPr>
          <w:u w:val="single"/>
        </w:rPr>
        <w:t xml:space="preserve">(informando a data de publicação da respectiva Bula Padrão no </w:t>
      </w:r>
      <w:proofErr w:type="spellStart"/>
      <w:r w:rsidRPr="003D01D1">
        <w:rPr>
          <w:u w:val="single"/>
        </w:rPr>
        <w:t>Bulário</w:t>
      </w:r>
      <w:proofErr w:type="spellEnd"/>
      <w:r w:rsidRPr="003D01D1">
        <w:rPr>
          <w:u w:val="single"/>
        </w:rPr>
        <w:t xml:space="preserve"> Eletrônico com a qual a bula foi harmonizada e/ou atualizada)</w:t>
      </w:r>
      <w:r w:rsidRPr="003D01D1">
        <w:t xml:space="preserve"> </w:t>
      </w:r>
    </w:p>
    <w:p w:rsidR="00216BA0" w:rsidRPr="00232349" w:rsidRDefault="004826F8" w:rsidP="003D01D1">
      <w:pPr>
        <w:jc w:val="both"/>
        <w:rPr>
          <w:u w:val="single"/>
        </w:rPr>
      </w:pPr>
      <w:r w:rsidRPr="00232349">
        <w:rPr>
          <w:u w:val="single"/>
        </w:rPr>
        <w:lastRenderedPageBreak/>
        <w:t>Incluir símbolo da reciclagem de papel.</w:t>
      </w:r>
      <w:r w:rsidRPr="00232349">
        <w:rPr>
          <w:u w:val="single"/>
        </w:rPr>
        <w:cr/>
      </w:r>
    </w:p>
    <w:p w:rsidR="00232349" w:rsidRPr="003D01D1" w:rsidRDefault="00B56917" w:rsidP="003D01D1">
      <w:pPr>
        <w:autoSpaceDE w:val="0"/>
        <w:autoSpaceDN w:val="0"/>
        <w:adjustRightInd w:val="0"/>
        <w:jc w:val="both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REFERÊNCIAS</w:t>
      </w:r>
    </w:p>
    <w:p w:rsidR="00216BA0" w:rsidRPr="003D01D1" w:rsidRDefault="00216BA0" w:rsidP="003D01D1">
      <w:pPr>
        <w:jc w:val="both"/>
        <w:rPr>
          <w:u w:val="single"/>
          <w:lang w:val="en-US"/>
        </w:rPr>
      </w:pPr>
      <w:r w:rsidRPr="003D01D1">
        <w:rPr>
          <w:u w:val="single"/>
        </w:rPr>
        <w:t xml:space="preserve">ALONSO, J. R. </w:t>
      </w:r>
      <w:r w:rsidRPr="003D01D1">
        <w:rPr>
          <w:i/>
          <w:u w:val="single"/>
        </w:rPr>
        <w:t xml:space="preserve">Tratado de </w:t>
      </w:r>
      <w:proofErr w:type="spellStart"/>
      <w:r w:rsidRPr="003D01D1">
        <w:rPr>
          <w:i/>
          <w:u w:val="single"/>
        </w:rPr>
        <w:t>Fitomedicina</w:t>
      </w:r>
      <w:proofErr w:type="spellEnd"/>
      <w:r w:rsidRPr="003D01D1">
        <w:rPr>
          <w:i/>
          <w:u w:val="single"/>
        </w:rPr>
        <w:t>: bases clínicas e farmacológicas</w:t>
      </w:r>
      <w:r w:rsidRPr="003D01D1">
        <w:rPr>
          <w:u w:val="single"/>
        </w:rPr>
        <w:t xml:space="preserve">. </w:t>
      </w:r>
      <w:r w:rsidRPr="003D01D1">
        <w:rPr>
          <w:u w:val="single"/>
          <w:lang w:val="en-US"/>
        </w:rPr>
        <w:t xml:space="preserve">Argentina: Isis </w:t>
      </w:r>
      <w:proofErr w:type="spellStart"/>
      <w:r w:rsidRPr="003D01D1">
        <w:rPr>
          <w:u w:val="single"/>
          <w:lang w:val="en-US"/>
        </w:rPr>
        <w:t>Ediciones</w:t>
      </w:r>
      <w:proofErr w:type="spellEnd"/>
      <w:r w:rsidRPr="003D01D1">
        <w:rPr>
          <w:u w:val="single"/>
          <w:lang w:val="en-US"/>
        </w:rPr>
        <w:t xml:space="preserve"> SRL, 1998.</w:t>
      </w:r>
    </w:p>
    <w:p w:rsidR="00216BA0" w:rsidRPr="003D01D1" w:rsidRDefault="00216BA0" w:rsidP="003D01D1">
      <w:pPr>
        <w:jc w:val="both"/>
        <w:rPr>
          <w:u w:val="single"/>
          <w:lang w:val="en-US"/>
        </w:rPr>
      </w:pPr>
      <w:proofErr w:type="gramStart"/>
      <w:r w:rsidRPr="003D01D1">
        <w:rPr>
          <w:u w:val="single"/>
          <w:lang w:val="en-US"/>
        </w:rPr>
        <w:t xml:space="preserve">BLUMENTHAL et al. </w:t>
      </w:r>
      <w:r w:rsidRPr="003D01D1">
        <w:rPr>
          <w:i/>
          <w:u w:val="single"/>
          <w:lang w:val="en-US"/>
        </w:rPr>
        <w:t>Therapeutic Guide to Herbal Medicines</w:t>
      </w:r>
      <w:r w:rsidRPr="003D01D1">
        <w:rPr>
          <w:u w:val="single"/>
          <w:lang w:val="en-US"/>
        </w:rPr>
        <w:t>.</w:t>
      </w:r>
      <w:proofErr w:type="gramEnd"/>
      <w:r w:rsidRPr="003D01D1">
        <w:rPr>
          <w:u w:val="single"/>
          <w:lang w:val="en-US"/>
        </w:rPr>
        <w:t xml:space="preserve"> </w:t>
      </w:r>
      <w:proofErr w:type="gramStart"/>
      <w:r w:rsidRPr="003D01D1">
        <w:rPr>
          <w:u w:val="single"/>
          <w:lang w:val="en-US"/>
        </w:rPr>
        <w:t>Massachusetts, 1998.</w:t>
      </w:r>
      <w:proofErr w:type="gramEnd"/>
    </w:p>
    <w:p w:rsidR="00216BA0" w:rsidRPr="003D01D1" w:rsidRDefault="00216BA0" w:rsidP="003D01D1">
      <w:pPr>
        <w:jc w:val="both"/>
        <w:rPr>
          <w:u w:val="single"/>
          <w:lang w:val="en-US"/>
        </w:rPr>
      </w:pPr>
      <w:bookmarkStart w:id="1" w:name="OLE_LINK3"/>
      <w:bookmarkStart w:id="2" w:name="OLE_LINK4"/>
      <w:r w:rsidRPr="003D01D1">
        <w:rPr>
          <w:u w:val="single"/>
          <w:lang w:val="en-US"/>
        </w:rPr>
        <w:t xml:space="preserve">BRADLEY, P. R. </w:t>
      </w:r>
      <w:bookmarkEnd w:id="1"/>
      <w:bookmarkEnd w:id="2"/>
      <w:r w:rsidRPr="003D01D1">
        <w:rPr>
          <w:i/>
          <w:u w:val="single"/>
          <w:lang w:val="en-US"/>
        </w:rPr>
        <w:t>British Herbal Compendium</w:t>
      </w:r>
      <w:r w:rsidRPr="003D01D1">
        <w:rPr>
          <w:u w:val="single"/>
          <w:lang w:val="en-US"/>
        </w:rPr>
        <w:t xml:space="preserve">.  V.1. </w:t>
      </w:r>
      <w:proofErr w:type="spellStart"/>
      <w:r w:rsidRPr="003D01D1">
        <w:rPr>
          <w:u w:val="single"/>
          <w:lang w:val="en-US"/>
        </w:rPr>
        <w:t>Grã</w:t>
      </w:r>
      <w:proofErr w:type="spellEnd"/>
      <w:r w:rsidRPr="003D01D1">
        <w:rPr>
          <w:u w:val="single"/>
          <w:lang w:val="en-US"/>
        </w:rPr>
        <w:t xml:space="preserve">- </w:t>
      </w:r>
      <w:proofErr w:type="spellStart"/>
      <w:r w:rsidRPr="003D01D1">
        <w:rPr>
          <w:u w:val="single"/>
          <w:lang w:val="en-US"/>
        </w:rPr>
        <w:t>Bretanha</w:t>
      </w:r>
      <w:proofErr w:type="spellEnd"/>
      <w:r w:rsidRPr="003D01D1">
        <w:rPr>
          <w:u w:val="single"/>
          <w:lang w:val="en-US"/>
        </w:rPr>
        <w:t xml:space="preserve">: </w:t>
      </w:r>
      <w:proofErr w:type="spellStart"/>
      <w:r w:rsidRPr="003D01D1">
        <w:rPr>
          <w:u w:val="single"/>
          <w:lang w:val="en-US"/>
        </w:rPr>
        <w:t>Biddles</w:t>
      </w:r>
      <w:proofErr w:type="spellEnd"/>
      <w:r w:rsidRPr="003D01D1">
        <w:rPr>
          <w:u w:val="single"/>
          <w:lang w:val="en-US"/>
        </w:rPr>
        <w:t xml:space="preserve"> </w:t>
      </w:r>
      <w:proofErr w:type="spellStart"/>
      <w:r w:rsidRPr="003D01D1">
        <w:rPr>
          <w:u w:val="single"/>
          <w:lang w:val="en-US"/>
        </w:rPr>
        <w:t>Ltda</w:t>
      </w:r>
      <w:proofErr w:type="spellEnd"/>
      <w:r w:rsidRPr="003D01D1">
        <w:rPr>
          <w:u w:val="single"/>
          <w:lang w:val="en-US"/>
        </w:rPr>
        <w:t>, Guilford and King’s Lynn, 1992.</w:t>
      </w:r>
    </w:p>
    <w:p w:rsidR="00216BA0" w:rsidRPr="003D01D1" w:rsidRDefault="00216BA0" w:rsidP="003D01D1">
      <w:pPr>
        <w:autoSpaceDE w:val="0"/>
        <w:autoSpaceDN w:val="0"/>
        <w:adjustRightInd w:val="0"/>
        <w:jc w:val="both"/>
        <w:outlineLvl w:val="0"/>
        <w:rPr>
          <w:color w:val="000000"/>
          <w:u w:val="single"/>
          <w:lang w:val="en-US"/>
        </w:rPr>
      </w:pPr>
      <w:proofErr w:type="gramStart"/>
      <w:r w:rsidRPr="003D01D1">
        <w:rPr>
          <w:color w:val="000000"/>
          <w:u w:val="single"/>
          <w:lang w:val="en-US"/>
        </w:rPr>
        <w:t>BRITISH HERBAL MEDICINE ASSOCIATION.</w:t>
      </w:r>
      <w:proofErr w:type="gramEnd"/>
      <w:r w:rsidRPr="003D01D1">
        <w:rPr>
          <w:color w:val="000000"/>
          <w:u w:val="single"/>
          <w:lang w:val="en-US"/>
        </w:rPr>
        <w:t xml:space="preserve"> </w:t>
      </w:r>
      <w:proofErr w:type="gramStart"/>
      <w:r w:rsidRPr="003D01D1">
        <w:rPr>
          <w:i/>
          <w:color w:val="000000"/>
          <w:u w:val="single"/>
          <w:lang w:val="en-US"/>
        </w:rPr>
        <w:t>British Herbal Pharmacopoeia</w:t>
      </w:r>
      <w:r w:rsidRPr="003D01D1">
        <w:rPr>
          <w:color w:val="000000"/>
          <w:u w:val="single"/>
          <w:lang w:val="en-US"/>
        </w:rPr>
        <w:t>.</w:t>
      </w:r>
      <w:proofErr w:type="gramEnd"/>
      <w:r w:rsidRPr="003D01D1">
        <w:rPr>
          <w:color w:val="000000"/>
          <w:u w:val="single"/>
          <w:lang w:val="en-US"/>
        </w:rPr>
        <w:t xml:space="preserve"> 4</w:t>
      </w:r>
      <w:r w:rsidRPr="003D01D1">
        <w:rPr>
          <w:color w:val="000000"/>
          <w:u w:val="single"/>
          <w:vertAlign w:val="superscript"/>
          <w:lang w:val="en-US"/>
        </w:rPr>
        <w:t>a</w:t>
      </w:r>
      <w:r w:rsidRPr="003D01D1">
        <w:rPr>
          <w:color w:val="000000"/>
          <w:u w:val="single"/>
          <w:lang w:val="en-US"/>
        </w:rPr>
        <w:t xml:space="preserve">ed. Exeter: </w:t>
      </w:r>
      <w:proofErr w:type="spellStart"/>
      <w:r w:rsidRPr="003D01D1">
        <w:rPr>
          <w:u w:val="single"/>
          <w:lang w:val="en-US"/>
        </w:rPr>
        <w:t>Biddles</w:t>
      </w:r>
      <w:proofErr w:type="spellEnd"/>
      <w:r w:rsidRPr="003D01D1">
        <w:rPr>
          <w:u w:val="single"/>
          <w:lang w:val="en-US"/>
        </w:rPr>
        <w:t xml:space="preserve"> </w:t>
      </w:r>
      <w:proofErr w:type="spellStart"/>
      <w:r w:rsidRPr="003D01D1">
        <w:rPr>
          <w:u w:val="single"/>
          <w:lang w:val="en-US"/>
        </w:rPr>
        <w:t>Ltda</w:t>
      </w:r>
      <w:proofErr w:type="spellEnd"/>
      <w:r w:rsidRPr="003D01D1">
        <w:rPr>
          <w:u w:val="single"/>
          <w:lang w:val="en-US"/>
        </w:rPr>
        <w:t>, Guilford and King’s Lynn, 1996.</w:t>
      </w:r>
    </w:p>
    <w:p w:rsidR="00216BA0" w:rsidRPr="003D01D1" w:rsidRDefault="00216BA0" w:rsidP="003D01D1">
      <w:pPr>
        <w:jc w:val="both"/>
        <w:rPr>
          <w:u w:val="single"/>
          <w:lang w:val="en-US"/>
        </w:rPr>
      </w:pPr>
      <w:proofErr w:type="gramStart"/>
      <w:r w:rsidRPr="003D01D1">
        <w:rPr>
          <w:u w:val="single"/>
          <w:lang w:val="en-US"/>
        </w:rPr>
        <w:t xml:space="preserve">European Scientific Cooperative on </w:t>
      </w:r>
      <w:proofErr w:type="spellStart"/>
      <w:r w:rsidRPr="003D01D1">
        <w:rPr>
          <w:u w:val="single"/>
          <w:lang w:val="en-US"/>
        </w:rPr>
        <w:t>Phytotherapy</w:t>
      </w:r>
      <w:proofErr w:type="spellEnd"/>
      <w:r w:rsidRPr="003D01D1">
        <w:rPr>
          <w:u w:val="single"/>
          <w:lang w:val="en-US"/>
        </w:rPr>
        <w:t>.</w:t>
      </w:r>
      <w:proofErr w:type="gramEnd"/>
      <w:r w:rsidRPr="003D01D1">
        <w:rPr>
          <w:u w:val="single"/>
          <w:lang w:val="en-US"/>
        </w:rPr>
        <w:t xml:space="preserve"> </w:t>
      </w:r>
      <w:proofErr w:type="gramStart"/>
      <w:r w:rsidRPr="003D01D1">
        <w:rPr>
          <w:i/>
          <w:u w:val="single"/>
          <w:lang w:val="en-US"/>
        </w:rPr>
        <w:t>Monographs</w:t>
      </w:r>
      <w:r w:rsidRPr="003D01D1">
        <w:rPr>
          <w:u w:val="single"/>
          <w:lang w:val="en-US"/>
        </w:rPr>
        <w:t>.</w:t>
      </w:r>
      <w:proofErr w:type="gramEnd"/>
      <w:r w:rsidRPr="003D01D1">
        <w:rPr>
          <w:u w:val="single"/>
          <w:lang w:val="en-US"/>
        </w:rPr>
        <w:t xml:space="preserve"> 2</w:t>
      </w:r>
      <w:r w:rsidRPr="003D01D1">
        <w:rPr>
          <w:u w:val="single"/>
          <w:vertAlign w:val="superscript"/>
          <w:lang w:val="en-US"/>
        </w:rPr>
        <w:t>o</w:t>
      </w:r>
      <w:r w:rsidRPr="003D01D1">
        <w:rPr>
          <w:u w:val="single"/>
          <w:lang w:val="en-US"/>
        </w:rPr>
        <w:t xml:space="preserve">ed. </w:t>
      </w:r>
      <w:proofErr w:type="spellStart"/>
      <w:r w:rsidRPr="003D01D1">
        <w:rPr>
          <w:u w:val="single"/>
          <w:lang w:val="en-US"/>
        </w:rPr>
        <w:t>Grã</w:t>
      </w:r>
      <w:proofErr w:type="spellEnd"/>
      <w:r w:rsidRPr="003D01D1">
        <w:rPr>
          <w:u w:val="single"/>
          <w:lang w:val="en-US"/>
        </w:rPr>
        <w:t xml:space="preserve"> – </w:t>
      </w:r>
      <w:proofErr w:type="spellStart"/>
      <w:r w:rsidRPr="003D01D1">
        <w:rPr>
          <w:u w:val="single"/>
          <w:lang w:val="en-US"/>
        </w:rPr>
        <w:t>Bretanha</w:t>
      </w:r>
      <w:proofErr w:type="spellEnd"/>
      <w:r w:rsidRPr="003D01D1">
        <w:rPr>
          <w:u w:val="single"/>
          <w:lang w:val="en-US"/>
        </w:rPr>
        <w:t xml:space="preserve">:  </w:t>
      </w:r>
      <w:proofErr w:type="spellStart"/>
      <w:r w:rsidRPr="003D01D1">
        <w:rPr>
          <w:u w:val="single"/>
          <w:lang w:val="en-US"/>
        </w:rPr>
        <w:t>Biddles</w:t>
      </w:r>
      <w:proofErr w:type="spellEnd"/>
      <w:r w:rsidRPr="003D01D1">
        <w:rPr>
          <w:u w:val="single"/>
          <w:lang w:val="en-US"/>
        </w:rPr>
        <w:t xml:space="preserve"> </w:t>
      </w:r>
      <w:proofErr w:type="spellStart"/>
      <w:r w:rsidRPr="003D01D1">
        <w:rPr>
          <w:u w:val="single"/>
          <w:lang w:val="en-US"/>
        </w:rPr>
        <w:t>Ltda</w:t>
      </w:r>
      <w:proofErr w:type="spellEnd"/>
      <w:r w:rsidRPr="003D01D1">
        <w:rPr>
          <w:u w:val="single"/>
          <w:lang w:val="en-US"/>
        </w:rPr>
        <w:t>, Guilford and King’s Lynn, 1997.</w:t>
      </w:r>
    </w:p>
    <w:p w:rsidR="00216BA0" w:rsidRPr="003D01D1" w:rsidRDefault="00216BA0" w:rsidP="003D01D1">
      <w:pPr>
        <w:jc w:val="both"/>
        <w:rPr>
          <w:u w:val="single"/>
          <w:lang w:val="en-US"/>
        </w:rPr>
      </w:pPr>
      <w:r w:rsidRPr="003D01D1">
        <w:rPr>
          <w:u w:val="single"/>
          <w:lang w:val="en-US"/>
        </w:rPr>
        <w:t xml:space="preserve">HEBER, David. </w:t>
      </w:r>
      <w:proofErr w:type="spellStart"/>
      <w:proofErr w:type="gramStart"/>
      <w:r w:rsidRPr="003D01D1">
        <w:rPr>
          <w:i/>
          <w:u w:val="single"/>
          <w:lang w:val="en-US"/>
        </w:rPr>
        <w:t>Physicians</w:t>
      </w:r>
      <w:proofErr w:type="spellEnd"/>
      <w:r w:rsidRPr="003D01D1">
        <w:rPr>
          <w:i/>
          <w:u w:val="single"/>
          <w:lang w:val="en-US"/>
        </w:rPr>
        <w:t xml:space="preserve"> Desk Reference for Herbal Medicines</w:t>
      </w:r>
      <w:r w:rsidRPr="003D01D1">
        <w:rPr>
          <w:u w:val="single"/>
          <w:lang w:val="en-US"/>
        </w:rPr>
        <w:t>.</w:t>
      </w:r>
      <w:proofErr w:type="gramEnd"/>
      <w:r w:rsidRPr="003D01D1">
        <w:rPr>
          <w:u w:val="single"/>
          <w:lang w:val="en-US"/>
        </w:rPr>
        <w:t xml:space="preserve"> 3</w:t>
      </w:r>
      <w:r w:rsidRPr="003D01D1">
        <w:rPr>
          <w:u w:val="single"/>
          <w:vertAlign w:val="superscript"/>
          <w:lang w:val="en-US"/>
        </w:rPr>
        <w:t>o</w:t>
      </w:r>
      <w:r w:rsidRPr="003D01D1">
        <w:rPr>
          <w:u w:val="single"/>
          <w:lang w:val="en-US"/>
        </w:rPr>
        <w:t>ed. Los Angeles: Thomson, 2004.</w:t>
      </w:r>
    </w:p>
    <w:p w:rsidR="00216BA0" w:rsidRPr="003D01D1" w:rsidRDefault="00216BA0" w:rsidP="003D01D1">
      <w:pPr>
        <w:jc w:val="both"/>
        <w:rPr>
          <w:rStyle w:val="nfase"/>
          <w:u w:val="single"/>
          <w:lang w:val="en-US"/>
        </w:rPr>
      </w:pPr>
      <w:r w:rsidRPr="003D01D1">
        <w:rPr>
          <w:u w:val="single"/>
          <w:lang w:val="en-US"/>
        </w:rPr>
        <w:t>LENG – PESCHLOW, E</w:t>
      </w:r>
      <w:r w:rsidRPr="003D01D1">
        <w:rPr>
          <w:i/>
          <w:u w:val="single"/>
          <w:lang w:val="en-US"/>
        </w:rPr>
        <w:t>.</w:t>
      </w:r>
      <w:r w:rsidRPr="003D01D1">
        <w:rPr>
          <w:i/>
          <w:color w:val="010202"/>
          <w:u w:val="single"/>
          <w:lang w:val="en-US"/>
        </w:rPr>
        <w:t xml:space="preserve"> Dual effect of orally administered </w:t>
      </w:r>
      <w:proofErr w:type="spellStart"/>
      <w:r w:rsidRPr="003D01D1">
        <w:rPr>
          <w:i/>
          <w:color w:val="010202"/>
          <w:u w:val="single"/>
          <w:lang w:val="en-US"/>
        </w:rPr>
        <w:t>sennosides</w:t>
      </w:r>
      <w:proofErr w:type="spellEnd"/>
      <w:r w:rsidRPr="003D01D1">
        <w:rPr>
          <w:i/>
          <w:color w:val="010202"/>
          <w:u w:val="single"/>
          <w:lang w:val="en-US"/>
        </w:rPr>
        <w:t xml:space="preserve"> on large intestine transit and fluid absorption in the rat</w:t>
      </w:r>
      <w:r w:rsidRPr="003D01D1">
        <w:rPr>
          <w:color w:val="010202"/>
          <w:u w:val="single"/>
          <w:lang w:val="en-US"/>
        </w:rPr>
        <w:t xml:space="preserve">. </w:t>
      </w:r>
      <w:proofErr w:type="gramStart"/>
      <w:r w:rsidRPr="003D01D1">
        <w:rPr>
          <w:color w:val="010202"/>
          <w:u w:val="single"/>
          <w:lang w:val="en-US"/>
        </w:rPr>
        <w:t xml:space="preserve">J Pharm </w:t>
      </w:r>
      <w:proofErr w:type="spellStart"/>
      <w:r w:rsidRPr="003D01D1">
        <w:rPr>
          <w:color w:val="010202"/>
          <w:u w:val="single"/>
          <w:lang w:val="en-US"/>
        </w:rPr>
        <w:t>Pharmacol</w:t>
      </w:r>
      <w:proofErr w:type="spellEnd"/>
      <w:r w:rsidRPr="003D01D1">
        <w:rPr>
          <w:color w:val="010202"/>
          <w:u w:val="single"/>
          <w:lang w:val="en-US"/>
        </w:rPr>
        <w:t xml:space="preserve"> 1986; 38:606-610.</w:t>
      </w:r>
      <w:proofErr w:type="gramEnd"/>
      <w:r w:rsidRPr="003D01D1">
        <w:rPr>
          <w:color w:val="676767"/>
          <w:u w:val="single"/>
          <w:lang w:val="en-US"/>
        </w:rPr>
        <w:t xml:space="preserve"> </w:t>
      </w:r>
    </w:p>
    <w:p w:rsidR="00216BA0" w:rsidRPr="003D01D1" w:rsidRDefault="00216BA0" w:rsidP="003D01D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3D01D1">
        <w:rPr>
          <w:rFonts w:ascii="Times New Roman" w:hAnsi="Times New Roman" w:cs="Times New Roman"/>
          <w:sz w:val="24"/>
          <w:szCs w:val="24"/>
          <w:u w:val="single"/>
          <w:lang w:val="en-US"/>
        </w:rPr>
        <w:t>LENG – PESCHLOW, E</w:t>
      </w:r>
      <w:r w:rsidRPr="003D01D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 xml:space="preserve">. </w:t>
      </w:r>
      <w:r w:rsidRPr="003D01D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 xml:space="preserve">Risk Assessment for </w:t>
      </w:r>
      <w:proofErr w:type="spellStart"/>
      <w:r w:rsidRPr="003D01D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>Senna</w:t>
      </w:r>
      <w:proofErr w:type="spellEnd"/>
      <w:r w:rsidRPr="003D01D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  <w:t xml:space="preserve"> during Pregnancy</w:t>
      </w:r>
      <w:r w:rsidRPr="003D01D1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  <w:r w:rsidRPr="003D01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D01D1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Pharmacology</w:t>
      </w:r>
      <w:r w:rsidRPr="003D01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1992; 44 (Suppl. 1):20-22.</w:t>
      </w:r>
    </w:p>
    <w:p w:rsidR="00216BA0" w:rsidRPr="003D01D1" w:rsidRDefault="00216BA0" w:rsidP="003D01D1">
      <w:pPr>
        <w:jc w:val="both"/>
        <w:rPr>
          <w:i/>
          <w:color w:val="676767"/>
          <w:u w:val="single"/>
        </w:rPr>
      </w:pPr>
      <w:r w:rsidRPr="003D01D1">
        <w:rPr>
          <w:rStyle w:val="nfase"/>
          <w:i w:val="0"/>
          <w:u w:val="single"/>
          <w:lang w:val="en-US"/>
        </w:rPr>
        <w:t>MARLETTT, JA. LIBU, PATROW CJ, BASS P</w:t>
      </w:r>
      <w:r w:rsidRPr="003D01D1">
        <w:rPr>
          <w:rStyle w:val="nfase"/>
          <w:u w:val="single"/>
          <w:lang w:val="en-US"/>
        </w:rPr>
        <w:t xml:space="preserve">. Comparative Laxation of </w:t>
      </w:r>
      <w:proofErr w:type="spellStart"/>
      <w:r w:rsidRPr="003D01D1">
        <w:rPr>
          <w:rStyle w:val="nfase"/>
          <w:u w:val="single"/>
          <w:lang w:val="en-US"/>
        </w:rPr>
        <w:t>Psyllium</w:t>
      </w:r>
      <w:proofErr w:type="spellEnd"/>
      <w:r w:rsidRPr="003D01D1">
        <w:rPr>
          <w:rStyle w:val="nfase"/>
          <w:u w:val="single"/>
          <w:lang w:val="en-US"/>
        </w:rPr>
        <w:t xml:space="preserve"> with and without </w:t>
      </w:r>
      <w:proofErr w:type="spellStart"/>
      <w:r w:rsidRPr="003D01D1">
        <w:rPr>
          <w:rStyle w:val="nfase"/>
          <w:u w:val="single"/>
          <w:lang w:val="en-US"/>
        </w:rPr>
        <w:t>Senna</w:t>
      </w:r>
      <w:proofErr w:type="spellEnd"/>
      <w:r w:rsidRPr="003D01D1">
        <w:rPr>
          <w:rStyle w:val="nfase"/>
          <w:u w:val="single"/>
          <w:lang w:val="en-US"/>
        </w:rPr>
        <w:t xml:space="preserve"> in an Ambulatory Constipated Population. </w:t>
      </w:r>
      <w:proofErr w:type="spellStart"/>
      <w:proofErr w:type="gramStart"/>
      <w:r w:rsidRPr="003D01D1">
        <w:rPr>
          <w:rStyle w:val="nfase"/>
          <w:i w:val="0"/>
          <w:u w:val="single"/>
        </w:rPr>
        <w:t>Am</w:t>
      </w:r>
      <w:proofErr w:type="spellEnd"/>
      <w:proofErr w:type="gramEnd"/>
      <w:r w:rsidRPr="003D01D1">
        <w:rPr>
          <w:rStyle w:val="nfase"/>
          <w:i w:val="0"/>
          <w:u w:val="single"/>
        </w:rPr>
        <w:t xml:space="preserve"> J </w:t>
      </w:r>
      <w:proofErr w:type="spellStart"/>
      <w:r w:rsidRPr="003D01D1">
        <w:rPr>
          <w:rStyle w:val="nfase"/>
          <w:i w:val="0"/>
          <w:u w:val="single"/>
        </w:rPr>
        <w:t>Gastroenterol</w:t>
      </w:r>
      <w:proofErr w:type="spellEnd"/>
      <w:r w:rsidRPr="003D01D1">
        <w:rPr>
          <w:rStyle w:val="nfase"/>
          <w:i w:val="0"/>
          <w:u w:val="single"/>
        </w:rPr>
        <w:t xml:space="preserve"> 1987, </w:t>
      </w:r>
      <w:proofErr w:type="spellStart"/>
      <w:r w:rsidRPr="003D01D1">
        <w:rPr>
          <w:rStyle w:val="nfase"/>
          <w:i w:val="0"/>
          <w:u w:val="single"/>
        </w:rPr>
        <w:t>Apr</w:t>
      </w:r>
      <w:proofErr w:type="spellEnd"/>
      <w:r w:rsidRPr="003D01D1">
        <w:rPr>
          <w:rStyle w:val="nfase"/>
          <w:i w:val="0"/>
          <w:u w:val="single"/>
        </w:rPr>
        <w:t>; 82 (4): 333-337.</w:t>
      </w:r>
    </w:p>
    <w:p w:rsidR="00216BA0" w:rsidRPr="003D01D1" w:rsidRDefault="00216BA0" w:rsidP="003D01D1">
      <w:pPr>
        <w:jc w:val="both"/>
        <w:rPr>
          <w:rStyle w:val="nfase"/>
          <w:i w:val="0"/>
          <w:u w:val="single"/>
        </w:rPr>
      </w:pPr>
      <w:bookmarkStart w:id="3" w:name="OLE_LINK1"/>
      <w:bookmarkStart w:id="4" w:name="OLE_LINK2"/>
      <w:r w:rsidRPr="003D01D1">
        <w:rPr>
          <w:rStyle w:val="nfase"/>
          <w:i w:val="0"/>
          <w:u w:val="single"/>
        </w:rPr>
        <w:t xml:space="preserve">MASCOLO, N.; CAPASSO, R.; CAPASSO F. </w:t>
      </w:r>
      <w:r w:rsidRPr="003D01D1">
        <w:rPr>
          <w:rStyle w:val="nfase"/>
          <w:u w:val="single"/>
        </w:rPr>
        <w:t xml:space="preserve">Senna. </w:t>
      </w:r>
      <w:proofErr w:type="gramStart"/>
      <w:r w:rsidRPr="003D01D1">
        <w:rPr>
          <w:rStyle w:val="nfase"/>
          <w:u w:val="single"/>
          <w:lang w:val="en-US"/>
        </w:rPr>
        <w:t>A safe and effective drug</w:t>
      </w:r>
      <w:bookmarkEnd w:id="3"/>
      <w:bookmarkEnd w:id="4"/>
      <w:r w:rsidRPr="003D01D1">
        <w:rPr>
          <w:rStyle w:val="nfase"/>
          <w:i w:val="0"/>
          <w:u w:val="single"/>
          <w:lang w:val="en-US"/>
        </w:rPr>
        <w:t>.</w:t>
      </w:r>
      <w:proofErr w:type="gramEnd"/>
      <w:r w:rsidRPr="003D01D1">
        <w:rPr>
          <w:rStyle w:val="nfase"/>
          <w:i w:val="0"/>
          <w:u w:val="single"/>
          <w:lang w:val="en-US"/>
        </w:rPr>
        <w:t xml:space="preserve"> </w:t>
      </w:r>
      <w:proofErr w:type="spellStart"/>
      <w:r w:rsidRPr="003D01D1">
        <w:rPr>
          <w:rStyle w:val="nfase"/>
          <w:i w:val="0"/>
          <w:u w:val="single"/>
        </w:rPr>
        <w:t>Phytotherapy</w:t>
      </w:r>
      <w:proofErr w:type="spellEnd"/>
      <w:r w:rsidRPr="003D01D1">
        <w:rPr>
          <w:rStyle w:val="nfase"/>
          <w:i w:val="0"/>
          <w:u w:val="single"/>
        </w:rPr>
        <w:t xml:space="preserve"> </w:t>
      </w:r>
      <w:proofErr w:type="spellStart"/>
      <w:r w:rsidRPr="003D01D1">
        <w:rPr>
          <w:rStyle w:val="nfase"/>
          <w:i w:val="0"/>
          <w:u w:val="single"/>
        </w:rPr>
        <w:t>Research</w:t>
      </w:r>
      <w:proofErr w:type="spellEnd"/>
      <w:r w:rsidRPr="003D01D1">
        <w:rPr>
          <w:rStyle w:val="nfase"/>
          <w:i w:val="0"/>
          <w:u w:val="single"/>
        </w:rPr>
        <w:t xml:space="preserve"> 1998; 12: S143-S145.</w:t>
      </w:r>
    </w:p>
    <w:p w:rsidR="00216BA0" w:rsidRPr="003D01D1" w:rsidRDefault="00216BA0" w:rsidP="003D01D1">
      <w:pPr>
        <w:jc w:val="both"/>
        <w:rPr>
          <w:u w:val="single"/>
        </w:rPr>
      </w:pPr>
      <w:r w:rsidRPr="003D01D1">
        <w:rPr>
          <w:u w:val="single"/>
        </w:rPr>
        <w:t xml:space="preserve">MASSON. </w:t>
      </w:r>
      <w:proofErr w:type="spellStart"/>
      <w:r w:rsidRPr="003D01D1">
        <w:rPr>
          <w:i/>
          <w:u w:val="single"/>
        </w:rPr>
        <w:t>Vademécum</w:t>
      </w:r>
      <w:proofErr w:type="spellEnd"/>
      <w:r w:rsidRPr="003D01D1">
        <w:rPr>
          <w:i/>
          <w:u w:val="single"/>
        </w:rPr>
        <w:t xml:space="preserve"> de </w:t>
      </w:r>
      <w:proofErr w:type="spellStart"/>
      <w:r w:rsidRPr="003D01D1">
        <w:rPr>
          <w:i/>
          <w:u w:val="single"/>
        </w:rPr>
        <w:t>Prescripción</w:t>
      </w:r>
      <w:proofErr w:type="spellEnd"/>
      <w:r w:rsidRPr="003D01D1">
        <w:rPr>
          <w:i/>
          <w:u w:val="single"/>
        </w:rPr>
        <w:t xml:space="preserve">: plantas </w:t>
      </w:r>
      <w:proofErr w:type="spellStart"/>
      <w:r w:rsidRPr="003D01D1">
        <w:rPr>
          <w:i/>
          <w:u w:val="single"/>
        </w:rPr>
        <w:t>medicinales</w:t>
      </w:r>
      <w:proofErr w:type="spellEnd"/>
      <w:r w:rsidRPr="003D01D1">
        <w:rPr>
          <w:u w:val="single"/>
        </w:rPr>
        <w:t>. 3</w:t>
      </w:r>
      <w:r w:rsidRPr="003D01D1">
        <w:rPr>
          <w:u w:val="single"/>
          <w:vertAlign w:val="superscript"/>
        </w:rPr>
        <w:t>o</w:t>
      </w:r>
      <w:r w:rsidRPr="003D01D1">
        <w:rPr>
          <w:u w:val="single"/>
        </w:rPr>
        <w:t>ed. Barcelona, 1998.</w:t>
      </w:r>
    </w:p>
    <w:p w:rsidR="00216BA0" w:rsidRPr="003D01D1" w:rsidRDefault="00216BA0" w:rsidP="003D01D1">
      <w:pPr>
        <w:autoSpaceDE w:val="0"/>
        <w:autoSpaceDN w:val="0"/>
        <w:adjustRightInd w:val="0"/>
        <w:jc w:val="both"/>
        <w:outlineLvl w:val="0"/>
        <w:rPr>
          <w:rStyle w:val="ti2"/>
          <w:sz w:val="24"/>
          <w:szCs w:val="24"/>
          <w:u w:val="single"/>
          <w:lang w:val="en-US"/>
        </w:rPr>
      </w:pPr>
      <w:r w:rsidRPr="003D01D1">
        <w:rPr>
          <w:color w:val="000000"/>
          <w:u w:val="single"/>
          <w:lang w:val="en-US"/>
        </w:rPr>
        <w:t xml:space="preserve">MENGS, U. </w:t>
      </w:r>
      <w:r w:rsidRPr="003D01D1">
        <w:rPr>
          <w:i/>
          <w:color w:val="000000"/>
          <w:u w:val="single"/>
          <w:lang w:val="en-US"/>
        </w:rPr>
        <w:t xml:space="preserve">Reproductive Toxicological Investigation with </w:t>
      </w:r>
      <w:proofErr w:type="spellStart"/>
      <w:r w:rsidRPr="003D01D1">
        <w:rPr>
          <w:i/>
          <w:color w:val="000000"/>
          <w:u w:val="single"/>
          <w:lang w:val="en-US"/>
        </w:rPr>
        <w:t>Sennosides</w:t>
      </w:r>
      <w:proofErr w:type="spellEnd"/>
      <w:r w:rsidRPr="003D01D1">
        <w:rPr>
          <w:color w:val="000000"/>
          <w:u w:val="single"/>
          <w:lang w:val="en-US"/>
        </w:rPr>
        <w:t xml:space="preserve">. </w:t>
      </w:r>
      <w:proofErr w:type="spellStart"/>
      <w:r w:rsidRPr="003D01D1">
        <w:rPr>
          <w:rStyle w:val="ti2"/>
          <w:sz w:val="24"/>
          <w:szCs w:val="24"/>
          <w:u w:val="single"/>
          <w:lang w:val="en-US"/>
        </w:rPr>
        <w:t>Arzneimittelforschung</w:t>
      </w:r>
      <w:proofErr w:type="spellEnd"/>
      <w:r w:rsidRPr="003D01D1">
        <w:rPr>
          <w:rStyle w:val="ti2"/>
          <w:sz w:val="24"/>
          <w:szCs w:val="24"/>
          <w:u w:val="single"/>
          <w:lang w:val="en-US"/>
        </w:rPr>
        <w:t>, 1986; Sep; 36(9):1355-8.</w:t>
      </w:r>
    </w:p>
    <w:p w:rsidR="00216BA0" w:rsidRPr="003D01D1" w:rsidRDefault="00216BA0" w:rsidP="003D01D1">
      <w:pPr>
        <w:jc w:val="both"/>
        <w:rPr>
          <w:u w:val="single"/>
          <w:lang w:val="en-US"/>
        </w:rPr>
      </w:pPr>
      <w:r w:rsidRPr="003D01D1">
        <w:rPr>
          <w:u w:val="single"/>
          <w:lang w:val="en-US"/>
        </w:rPr>
        <w:t xml:space="preserve">NEWALL, C. </w:t>
      </w:r>
      <w:proofErr w:type="gramStart"/>
      <w:r w:rsidRPr="003D01D1">
        <w:rPr>
          <w:u w:val="single"/>
          <w:lang w:val="en-US"/>
        </w:rPr>
        <w:t>A; ANDERSON, L.</w:t>
      </w:r>
      <w:proofErr w:type="gramEnd"/>
      <w:r w:rsidRPr="003D01D1">
        <w:rPr>
          <w:u w:val="single"/>
          <w:lang w:val="en-US"/>
        </w:rPr>
        <w:t xml:space="preserve"> A; PHILLIPSON, J. D. </w:t>
      </w:r>
      <w:r w:rsidRPr="003D01D1">
        <w:rPr>
          <w:i/>
          <w:u w:val="single"/>
          <w:lang w:val="en-US"/>
        </w:rPr>
        <w:t>Herbal Medicines: a Guide for Health Care Professionals</w:t>
      </w:r>
      <w:r w:rsidRPr="003D01D1">
        <w:rPr>
          <w:u w:val="single"/>
          <w:lang w:val="en-US"/>
        </w:rPr>
        <w:t>. London: The Pharmaceutical Press, 1996.</w:t>
      </w:r>
    </w:p>
    <w:p w:rsidR="00D83590" w:rsidRPr="004826F8" w:rsidRDefault="00216BA0" w:rsidP="00232349">
      <w:pPr>
        <w:jc w:val="both"/>
        <w:rPr>
          <w:u w:val="single"/>
          <w:lang w:val="en-US"/>
        </w:rPr>
      </w:pPr>
      <w:proofErr w:type="gramStart"/>
      <w:r w:rsidRPr="003D01D1">
        <w:rPr>
          <w:u w:val="single"/>
          <w:lang w:val="en-US"/>
        </w:rPr>
        <w:t>World Health Organization.</w:t>
      </w:r>
      <w:proofErr w:type="gramEnd"/>
      <w:r w:rsidRPr="003D01D1">
        <w:rPr>
          <w:u w:val="single"/>
          <w:lang w:val="en-US"/>
        </w:rPr>
        <w:t xml:space="preserve"> </w:t>
      </w:r>
      <w:r w:rsidRPr="003D01D1">
        <w:rPr>
          <w:i/>
          <w:u w:val="single"/>
          <w:lang w:val="en-US"/>
        </w:rPr>
        <w:t>Monographs on Selected Medicinal Plants</w:t>
      </w:r>
      <w:r w:rsidRPr="003D01D1">
        <w:rPr>
          <w:u w:val="single"/>
          <w:lang w:val="en-US"/>
        </w:rPr>
        <w:t>: Geneva, 1999.</w:t>
      </w:r>
    </w:p>
    <w:sectPr w:rsidR="00D83590" w:rsidRPr="004826F8" w:rsidSect="00771EB5">
      <w:pgSz w:w="11906" w:h="16838" w:code="9"/>
      <w:pgMar w:top="2268" w:right="567" w:bottom="1418" w:left="1134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A0"/>
    <w:rsid w:val="00056C6A"/>
    <w:rsid w:val="0008331C"/>
    <w:rsid w:val="000A15FB"/>
    <w:rsid w:val="000D06B5"/>
    <w:rsid w:val="00122AA5"/>
    <w:rsid w:val="00170810"/>
    <w:rsid w:val="00216BA0"/>
    <w:rsid w:val="00232349"/>
    <w:rsid w:val="002373F9"/>
    <w:rsid w:val="00263999"/>
    <w:rsid w:val="00263BC3"/>
    <w:rsid w:val="00295240"/>
    <w:rsid w:val="002B350A"/>
    <w:rsid w:val="002C23BC"/>
    <w:rsid w:val="002D473C"/>
    <w:rsid w:val="003B439F"/>
    <w:rsid w:val="003D01D1"/>
    <w:rsid w:val="004826F8"/>
    <w:rsid w:val="004F1564"/>
    <w:rsid w:val="00602515"/>
    <w:rsid w:val="006202E0"/>
    <w:rsid w:val="0062255F"/>
    <w:rsid w:val="006239CD"/>
    <w:rsid w:val="006837B9"/>
    <w:rsid w:val="007319F9"/>
    <w:rsid w:val="00756A9F"/>
    <w:rsid w:val="0090282D"/>
    <w:rsid w:val="00913D9D"/>
    <w:rsid w:val="00956E58"/>
    <w:rsid w:val="0096058F"/>
    <w:rsid w:val="009B7AED"/>
    <w:rsid w:val="00A82972"/>
    <w:rsid w:val="00AA0575"/>
    <w:rsid w:val="00B56917"/>
    <w:rsid w:val="00B906C1"/>
    <w:rsid w:val="00B97344"/>
    <w:rsid w:val="00BD46F9"/>
    <w:rsid w:val="00C714FE"/>
    <w:rsid w:val="00C96D93"/>
    <w:rsid w:val="00D52C44"/>
    <w:rsid w:val="00E40661"/>
    <w:rsid w:val="00E96D4D"/>
    <w:rsid w:val="00F1102B"/>
    <w:rsid w:val="00F90F39"/>
    <w:rsid w:val="00F94BAC"/>
    <w:rsid w:val="00FA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6BA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6B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16B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16BA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0">
    <w:name w:val="Pa0"/>
    <w:basedOn w:val="Normal"/>
    <w:next w:val="Normal"/>
    <w:rsid w:val="00216BA0"/>
    <w:pPr>
      <w:autoSpaceDE w:val="0"/>
      <w:autoSpaceDN w:val="0"/>
      <w:adjustRightInd w:val="0"/>
      <w:spacing w:line="121" w:lineRule="atLeast"/>
    </w:pPr>
    <w:rPr>
      <w:rFonts w:ascii="Helvetica Condensed" w:hAnsi="Helvetica Condensed"/>
    </w:rPr>
  </w:style>
  <w:style w:type="character" w:styleId="nfase">
    <w:name w:val="Emphasis"/>
    <w:basedOn w:val="Fontepargpadro"/>
    <w:qFormat/>
    <w:rsid w:val="00216BA0"/>
    <w:rPr>
      <w:i/>
      <w:iCs/>
    </w:rPr>
  </w:style>
  <w:style w:type="paragraph" w:customStyle="1" w:styleId="NormalCorpodeTexto">
    <w:name w:val="Normal.Corpo de Texto"/>
    <w:rsid w:val="00216BA0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i2">
    <w:name w:val="ti2"/>
    <w:basedOn w:val="Fontepargpadro"/>
    <w:rsid w:val="00216BA0"/>
    <w:rPr>
      <w:sz w:val="22"/>
      <w:szCs w:val="22"/>
    </w:rPr>
  </w:style>
  <w:style w:type="paragraph" w:styleId="NormalWeb">
    <w:name w:val="Normal (Web)"/>
    <w:basedOn w:val="Normal"/>
    <w:rsid w:val="00216B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C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6A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6D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6D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6D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6BA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6B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16B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16BA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0">
    <w:name w:val="Pa0"/>
    <w:basedOn w:val="Normal"/>
    <w:next w:val="Normal"/>
    <w:rsid w:val="00216BA0"/>
    <w:pPr>
      <w:autoSpaceDE w:val="0"/>
      <w:autoSpaceDN w:val="0"/>
      <w:adjustRightInd w:val="0"/>
      <w:spacing w:line="121" w:lineRule="atLeast"/>
    </w:pPr>
    <w:rPr>
      <w:rFonts w:ascii="Helvetica Condensed" w:hAnsi="Helvetica Condensed"/>
    </w:rPr>
  </w:style>
  <w:style w:type="character" w:styleId="nfase">
    <w:name w:val="Emphasis"/>
    <w:basedOn w:val="Fontepargpadro"/>
    <w:qFormat/>
    <w:rsid w:val="00216BA0"/>
    <w:rPr>
      <w:i/>
      <w:iCs/>
    </w:rPr>
  </w:style>
  <w:style w:type="paragraph" w:customStyle="1" w:styleId="NormalCorpodeTexto">
    <w:name w:val="Normal.Corpo de Texto"/>
    <w:rsid w:val="00216BA0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i2">
    <w:name w:val="ti2"/>
    <w:basedOn w:val="Fontepargpadro"/>
    <w:rsid w:val="00216BA0"/>
    <w:rPr>
      <w:sz w:val="22"/>
      <w:szCs w:val="22"/>
    </w:rPr>
  </w:style>
  <w:style w:type="paragraph" w:styleId="NormalWeb">
    <w:name w:val="Normal (Web)"/>
    <w:basedOn w:val="Normal"/>
    <w:rsid w:val="00216B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C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6A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6D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6D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6D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2775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evelin.balbino</cp:lastModifiedBy>
  <cp:revision>3</cp:revision>
  <dcterms:created xsi:type="dcterms:W3CDTF">2014-08-12T19:51:00Z</dcterms:created>
  <dcterms:modified xsi:type="dcterms:W3CDTF">2014-08-12T19:51:00Z</dcterms:modified>
</cp:coreProperties>
</file>